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	تحليل البنية المؤسسية من خلال فهم وتفكيك مكونات النظام السياسي وتحديد الأدوار المنوطة بكل من المؤسسات الرسمية والمدنية.</w:t>
      </w:r>
    </w:p>
    <w:p>
      <w:pPr/>
      <w:r>
        <w:rPr>
          <w:shd w:val="clear" w:fill="eeee80"/>
        </w:rPr>
        <w:t xml:space="preserve">3.	قياس كفاءة الأداء فيتم رصد أثر هذه المؤسسات في تطوير وظائف النظام الأساسية مثل (التنشئة،</w:t>
      </w:r>
    </w:p>
    <w:p>
      <w:pPr/>
      <w:r>
        <w:rPr>
          <w:shd w:val="clear" w:fill="eeee80"/>
        </w:rPr>
        <w:t xml:space="preserve"> والتواصل السياسي).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2026-08-17T04:51:30+00:00</dcterms:created>
  <dcterms:modified xsi:type="dcterms:W3CDTF">2026-08-17T04:51:30+00:00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