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تحقيق ذلك من خلال الاستثمار في البنية التحتية،  مثل بناء مدارس جديدة أو تجديد المدارس القائمة،  بالإضافة إلى ذلك،  قد يتم تقديم المنح الدراسية للطلاب الذين قد لا يكون لديهم الوسائل المالية لمتابعة التعليم العالي.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2026-10-26T13:40:50+00:00</dcterms:created>
  <dcterms:modified xsi:type="dcterms:W3CDTF">2026-10-26T13:40:50+00:00</dcterms:modified>
</cp:coreProperties>
</file>

<file path=docProps/custom.xml><?xml version="1.0" encoding="utf-8"?>
<Properties xmlns="http://schemas.openxmlformats.org/officeDocument/2006/custom-properties" xmlns:vt="http://schemas.openxmlformats.org/officeDocument/2006/docPropsVTypes"/>
</file>