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نشأت الدراسات الأكاديمية للاتصال في مطلع القرن العشرين ضمن سياقات سوسيولوجية وسيكولوجية ولسانية متداخلة.</w:t></w:r></w:p><w:p><w:pPr/><w:r><w:rPr><w:shd w:val="clear" w:fill="eeee80"/></w:rPr><w:t xml:space="preserve"> كان يُنظر إلى الاتصال بوصفه عملية خطية لنقل الرسائل من مرسل إلى مستقبل عبر قناة محددة،</w:t></w:r></w:p><w:p><w:pPr/><w:r><w:rPr><w:shd w:val="clear" w:fill="eeee80"/></w:rPr><w:t xml:space="preserve"> مع افتراض أن الهدف هو فهم المحتوى المنقول لدى المتلقي.</w:t></w:r></w:p><w:p><w:pPr/><w:r><w:rPr/><w:t xml:space="preserve"> أحد أشهر التصورات المبكرة هو نموذج شاننون وويفر (Shannon & Weaver) الذي صاغ الاتصال كمكونات أساسية هي: مرسل، مع التشديد على وجود الضوضاء كعامل تشويشjournalism.</w:t></w:r></w:p><w:p><w:pPr/><w:r><w:rPr><w:shd w:val="clear" w:fill="eeee80"/></w:rPr><w:t xml:space="preserve"> قدم هارولد لاسويل صيغة شهيرة تصف عملية الاتصال بسؤال: "من يقول ماذا،</w:t></w:r></w:p><w:p><w:pPr/><w:r><w:rPr><w:shd w:val="clear" w:fill="eeee80"/></w:rPr><w:t xml:space="preserve"> هذه النماذج الخطية تفترض اتجاهًا واحدًا للاتصال يبتدئ بالمرسل وينتهي عند المستقبل.</w:t></w:r></w:p><w:p><w:pPr/><w:r><w:rPr><w:shd w:val="clear" w:fill="eeee80"/></w:rPr><w:t xml:space="preserve"> تأسّس عام 1913 معهد بحوث الاتصال الجماهيري الأول في جامعة شيكاغو،</w:t></w:r></w:p><w:p><w:pPr/><w:r><w:rPr/><w:t xml:space="preserve"> فيما عُرف لاحقًا بـ"مدرسة شيكاغو"mominoun. مثّل هذا لحظة مفصلية جعلت الاتصال حقلًا علميًا قائماً بذاته.</w:t></w:r></w:p><w:p><w:pPr/><w:r><w:rPr><w:shd w:val="clear" w:fill="eeee80"/></w:rPr><w:t xml:space="preserve"> ركز رواد مدرسة شيكاغو على وظائف الاتصال في دمج المجتمع وتوجيهه؛</w:t></w:r></w:p><w:p><w:pPr/><w:r><w:rPr><w:shd w:val="clear" w:fill="eeee80"/></w:rPr><w:t xml:space="preserve"> فرأوا المدينة مختبرًا اجتماعيًا لصهر المهاجرين في هوية وطنية واحدة،</w:t></w:r></w:p><w:p><w:pPr/><w:r><w:rPr/><w:t xml:space="preserve"> وعدّوا وسائل الإعلام أداة لتحقيق المنفعة وخدمة مصالح المؤسسات الاقتصادية والسياسيةmominoun.</w:t></w:r></w:p><w:p><w:pPr/><w:r><w:rPr><w:shd w:val="clear" w:fill="eeee80"/></w:rPr><w:t xml:space="preserve"> نظر رواد هذه المدرسة إلى الاتصال بوصفه وسيلة لضبط التماسك الاجتماعي وضمان الإجماع حول القيم السائدة،</w:t></w:r></w:p><w:p><w:pPr/><w:r><w:rPr><w:shd w:val="clear" w:fill="eeee80"/></w:rPr><w:t xml:space="preserve"> وأيضًا للتأثير في الرأي العام (مثل استخدام الإذاعة لحشد الناخبين في حملات انتخابية).</w:t></w:r></w:p><w:p><w:pPr/><w:r><w:rPr><w:shd w:val="clear" w:fill="eeee80"/></w:rPr><w:t xml:space="preserve"> وهذا يعكس المنطلق الأساسي آنذاك: الاتصال عملية تأثير اجتماعي يمكن توظيفها لتحقيق أهداف محددة (اقتصادية أو سياسية)،</w:t></w:r></w:p><w:p><w:pPr/><w:r><w:rPr/><w:t xml:space="preserve"> سواء عبر الإقناع أو حتى التوجيه الدعائي.</w:t></w:r></w:p><w:p><w:pPr/><w:r><w:rPr><w:shd w:val="clear" w:fill="eeee80"/></w:rPr><w:t xml:space="preserve"> وشاعت في تلك الحقبة تصورات مبالغ فيها حول قوة وسائل الإعلام كتأثير "الإبرة تحت الجلد" (Hypodermic Needle) الذي يفترض أن الرسائل الإعلامية تُحقن مباشرة في عقول الجماهير وتتحكم بسلوكهم.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2026-08-27T08:24:53+00:00</dcterms:created>
  <dcterms:modified xsi:type="dcterms:W3CDTF">2026-08-27T08:24:53+00:00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