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إيطاليا التي لم تستفحل فيها االقطاعية كما استفحلت في فرنسا، فالوحدات اإلقليمية التي كانت تضمها هي المدن في شكل جمهوريات متالصقة قريب بعضها من البعض،</w:t>
      </w:r>
    </w:p>
    <w:p>
      <w:pPr/>
      <w:r>
        <w:rPr>
          <w:shd w:val="clear" w:fill="eeee80"/>
        </w:rPr>
        <w:t xml:space="preserve"> يرتكز </w:t>
      </w:r>
    </w:p>
    <w:p>
      <w:pPr/>
      <w:r>
        <w:rPr>
          <w:shd w:val="clear" w:fill="eeee80"/>
        </w:rPr>
        <w:t xml:space="preserve"> ويحكمها قانون عام هو قانون الشعوب تشمل سيادته</w:t>
      </w:r>
    </w:p>
    <w:p>
      <w:pPr/>
      <w:r>
        <w:rPr/>
        <w:t xml:space="preserve">اإلمبراطورية الرومانية؛ مع تعدد التشريعات اإلقليمية بحسب المدن نتيجة زيادة نشاط المعامالت فيما بينها، فكانت كل مدينة تتخذ نظاما متميزا لألحوال الشخصية الخاصة بسكانها كان يطلق </w:t>
      </w:r>
    </w:p>
    <w:p>
      <w:pPr/>
      <w:r>
        <w:rPr>
          <w:shd w:val="clear" w:fill="eeee80"/>
        </w:rPr>
        <w:t xml:space="preserve">وازدادت العالقات بين مواطني المدينة ومواطني المدن األخرى،</w:t>
      </w:r>
    </w:p>
    <w:p>
      <w:pPr/>
      <w:r>
        <w:rPr/>
        <w:t xml:space="preserve">وهكذا ظهرت في إيطاليا مسألة تنازع القوانين فيما بين األحوال لمختلف المدن أي فيما بين قوانينها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2026-10-13T02:44:48+00:00</dcterms:created>
  <dcterms:modified xsi:type="dcterms:W3CDTF">2026-10-13T02:44:48+00:00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