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سعادة القاضي خالد بن علي العبيدلي رئيس محكمة الاستثمار والتجارة،  الأهمية البالغة للمحاكم التجارية الدولية في تعزيز العدالة وتوفير بيئة محفزة للنمو الاقتصادي العالمي،  مشددا على ضرورة تفعيل التعاون الدولي لتحسين آليات حل النزاعات التجارية بفعالية وسرعة. وأبرز سعادة القاضي خالد العبيدلي خلال كلمته في "قمة التحكيم بين الصين ومنطقة الشرق الأوسط وشمال أفريقيا (مينا)،  دور دولة قطر في هذا الصدد من خلال إصدار القانون رقم (2) لعام 2017 الخاص بالتحكيم في المواد المدنية والتجارية.  مما يدعم النمو الاقتصادي ويشجع الاستثمار المحلي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