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ذكر المشرع  مصطلح الشكوى في نصوص قانونية مختلفة،</w:t>
      </w:r>
    </w:p>
    <w:p>
      <w:pPr/>
      <w:r>
        <w:rPr/>
        <w:t xml:space="preserve"> وقد ترك أمر تحريك الدعوى العمومية في بعض الجرائم التي تخص الأسرة، سواء كانت أخلاقية أو مالية، والمحافظة على سمعة أفرادها،</w:t>
      </w:r>
    </w:p>
    <w:p>
      <w:pPr/>
      <w:r>
        <w:rPr>
          <w:shd w:val="clear" w:fill="eeee80"/>
        </w:rPr>
        <w:t xml:space="preserve"> والمتعلقة مثلا بجريمة الزنا،</w:t>
      </w:r>
    </w:p>
    <w:p>
      <w:pPr/>
      <w:r>
        <w:rPr/>
        <w:t xml:space="preserve"> حيث نصت المادة 339 ،</w:t>
      </w:r>
    </w:p>
    <w:p>
      <w:pPr/>
      <w:r>
        <w:rPr>
          <w:shd w:val="clear" w:fill="eeee80"/>
        </w:rPr>
        <w:t xml:space="preserve"> أنه لا تتخذ اجراءات المتابعة القضائية إلا بناءا على شكوى الزوج،</w:t>
      </w:r>
    </w:p>
    <w:p>
      <w:pPr/>
      <w:r>
        <w:rPr>
          <w:shd w:val="clear" w:fill="eeee80"/>
        </w:rPr>
        <w:t xml:space="preserve"> وصفح الضحية وتنازلها يضع حدا لكل متابعة،</w:t>
      </w:r>
    </w:p>
    <w:p>
      <w:pPr/>
      <w:r>
        <w:rPr>
          <w:shd w:val="clear" w:fill="eeee80"/>
        </w:rPr>
        <w:t xml:space="preserve"> وكذا المادة 333 من ذات القانون المتعلقة بالإهمال العائلي،</w:t>
      </w:r>
    </w:p>
    <w:p>
      <w:pPr/>
      <w:r>
        <w:rPr/>
        <w:t xml:space="preserve"> ويعود للمتضرر المطالبة بحقه أو التنازل عنه،</w:t>
      </w:r>
    </w:p>
    <w:p>
      <w:pPr/>
      <w:r>
        <w:rPr>
          <w:shd w:val="clear" w:fill="eeee80"/>
        </w:rPr>
        <w:t xml:space="preserve"> في وجود جرائم أخرى تستلزم تقديم شكوى لتحريك الدعوى العمومية.</w:t>
      </w:r>
    </w:p>
    <w:p>
      <w:pPr/>
      <w:r>
        <w:rPr>
          <w:shd w:val="clear" w:fill="eeee80"/>
        </w:rPr>
        <w:t xml:space="preserve"> السرقة بين الأقارب و الحواشي و الأصهار حتى الدرجة الرابعة،</w:t>
      </w:r>
    </w:p>
    <w:p>
      <w:pPr/>
      <w:r>
        <w:rPr>
          <w:shd w:val="clear" w:fill="eeee80"/>
        </w:rPr>
        <w:t xml:space="preserve"> حسب المادة369 من قانون العقوبات على أنه لا يجوز اتخاذ الإجراءات الجزائية بشأنها إلا بناءا على شكوى الشخص المتضرر،</w:t>
      </w:r>
    </w:p>
    <w:p>
      <w:pPr/>
      <w:r>
        <w:rPr>
          <w:shd w:val="clear" w:fill="eeee80"/>
        </w:rPr>
        <w:t xml:space="preserve"> والتنازل عن الشكوى يضع حدا لهذه الإجراءات.</w:t>
      </w:r>
    </w:p>
    <w:p>
      <w:pPr/>
      <w:r>
        <w:rPr>
          <w:shd w:val="clear" w:fill="eeee80"/>
        </w:rPr>
        <w:t xml:space="preserve"> جريمة خطف القاصر وإبعادها :حسب نص المادة 326 من قانون العقوبات فان زواج الخاطف من المخطوفة هو باطل،</w:t>
      </w:r>
    </w:p>
    <w:p>
      <w:pPr/>
      <w:r>
        <w:rPr>
          <w:shd w:val="clear" w:fill="eeee80"/>
        </w:rPr>
        <w:t xml:space="preserve"> وعلى النيابة أن تحرك الدعوى بمجرد أن تحصل على شكوى من له صفة إبطال عقد الزواج ولا يجوز الحكم على الخاطف إلا بعد القضاء بابطال الزواج.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2026-08-29T04:15:17+00:00</dcterms:created>
  <dcterms:modified xsi:type="dcterms:W3CDTF">2026-08-29T04:15:17+00:00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