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الاهتمام بالأخبار المحلية والتركيز على ما يحدث داخل الدولة ، واستكشاف أبعاد محلية للأحداث الدولية ،</w:t>
      </w:r>
    </w:p>
    <w:p>
      <w:pPr/>
      <w:r>
        <w:rPr>
          <w:shd w:val="clear" w:fill="eeee80"/>
        </w:rPr>
        <w:t xml:space="preserve"> كيف يؤثر ما يجري في أي مكان علينا هنا " قرار رفع الاحتياطي الفيدرالي الأمريكي لسعر الفائدة .</w:t>
      </w:r>
    </w:p>
    <w:p>
      <w:pPr/>
      <w:r>
        <w:rPr/>
        <w:t xml:space="preserve"> كيف ستكون انعكاساته على الاقتصاد المصري _ استمرار الحرب الروسية الأوكرانية . كيف سينعكس على واردات مصر من الحبوب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2026-09-28T16:15:49+00:00</dcterms:created>
  <dcterms:modified xsi:type="dcterms:W3CDTF">2026-09-28T16:15:49+00:00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