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بالغضب من هذا التصرف بسبب تجاوزه لقيم الاحترام والمساواة. كان الجميع ينتظر دوره بصبر، لكن هذا الشخص تصرف بأنانية دون مراعاة الآخرين. ما زاد الأمر سوءًا هو عدم تدخل المسؤول، مما أعطى انطباعًا بأن مثل هذه التصرفات يمكن أن تمر دون 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