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العقود الإدارية بتحديد القانون رأی+ا أن هRه الف ة 'انV هي نقEة ال ا=ة لاخ0Dاص القtاء الإدارQ+ ازعات العق&د الإدارKة في ف ن ا،G ل> =J 	اخ0Dاص القtاء الإدارQ في م*ال العق&د الإدارKة عاما في أول الأم،ل8 الفقه على هRا ال+&ع م	 العق&د ' ا وأدخلها في اخ0Dاص هRا القtاء،ad Contrastذ' نا اصEلاح العق&د الإدارKة ب0L ی  القان&ن par ministratifsة الف ن ي ق  اس +0 إلى هRه loi de determination ورأی+ا أن م*لv ال ولعق&د الإدارة ل> ال+D&ص ل ي ی خل في اخ0Dاصه ال+ ازعات ال0 علقة  IJ لEة وال0D فات العاد=ة ال0ي وق  ôه ت هRه الف ة في ôل ن 3Kة أع ال ال de ActesكانV تع 0 أن العق&د ال0ي ت مها الإدارة م	 ق  V م	 أع ال ال لEة القائ ة على ع+D  ال Yادة gestion حG' انV ال0ف قة .	 أع ال ال لEة وال0D فات العاد=ة أو أع ال الإدارة هي مYار تL ی  الاخ0Dاص القtائي ولRلX' انV العق&د الإدارKة لا ت +رج في اخ0Dاص القtاء أعEي ال 5 ع لهRا القtاء الإدارQ، . وسوف نتناول هذه الفكرة في كل من فرنسا ومصر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2026-08-31T01:22:32+00:00</dcterms:created>
  <dcterms:modified xsi:type="dcterms:W3CDTF">2026-08-31T01:22:32+00:00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