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تواجه سيفورا مجموعة من النجاحات والتحديات والفرص الأساسية في سوق مستحضرات التجميل.</w:t>
      </w:r>
    </w:p>
    <w:p>
      <w:pPr/>
      <w:r>
        <w:rPr>
          <w:shd w:val="clear" w:fill="eeee80"/>
        </w:rPr>
        <w:t xml:space="preserve"> تتمثل قدرتها على بناء علامة تجارية قوية من خلال تقديم منتجات مبتكرة وتجارب عملاء متميزة.</w:t>
      </w:r>
    </w:p>
    <w:p>
      <w:pPr/>
      <w:r>
        <w:rPr/>
        <w:t xml:space="preserve"> تتعرض سيفورا لتحديات مثل المنافسة القوية من علامات تجارية أخرى والضغوط المرتبطة بالاستدامة. هناك فرص كبيرة للنمو،</w:t>
      </w:r>
    </w:p>
    <w:p>
      <w:pPr/>
      <w:r>
        <w:rPr>
          <w:shd w:val="clear" w:fill="eeee80"/>
        </w:rPr>
        <w:t xml:space="preserve"> لا سيما من خلال توسيع مجموعة المنتجات المستدامة وتعزيز القنوات الرقمية،</w:t>
      </w:r>
    </w:p>
    <w:p>
      <w:pPr/>
      <w:r>
        <w:rPr/>
        <w:t xml:space="preserve"> مما يمكنها من الوصول إلى جمهور أكبر وتعزيز ولاء العملاء. من خلال استغلال هذه الفرص ومواجهة التحديات،</w:t>
      </w:r>
    </w:p>
    <w:p>
      <w:pPr/>
      <w:r>
        <w:rPr>
          <w:shd w:val="clear" w:fill="eeee80"/>
        </w:rPr>
        <w:t xml:space="preserve"> يمكن لسيفورا أن تستمر في تحقيق النجاح والنمو في السوق.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2026-10-08T06:18:23+00:00</dcterms:created>
  <dcterms:modified xsi:type="dcterms:W3CDTF">2026-10-08T06:18:23+00:00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