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ونعني بها التوازن بين الثبات والتطور،</w:t>
      </w:r>
    </w:p>
    <w:p>
      <w:pPr/>
      <w:r>
        <w:rPr>
          <w:shd w:val="clear" w:fill="eeee80"/>
        </w:rPr>
        <w:t xml:space="preserve">إن للثبات والمرونة مظاهر ودلائل شتى،</w:t>
      </w:r>
    </w:p>
    <w:p>
      <w:pPr/>
      <w:r>
        <w:rPr>
          <w:shd w:val="clear" w:fill="eeee80"/>
        </w:rPr>
        <w:t xml:space="preserve">يتجلى هذا الثبات في المصادر الأصلية النصية القطعية للتشريع من كتاب الله،</w:t>
      </w:r>
    </w:p>
    <w:p>
      <w:pPr/>
      <w:r>
        <w:rPr>
          <w:shd w:val="clear" w:fill="eeee80"/>
        </w:rPr>
        <w:t xml:space="preserve"> فالقرآن هو الأصل والدستور،</w:t>
      </w:r>
    </w:p>
    <w:p>
      <w:pPr/>
      <w:r>
        <w:rPr>
          <w:shd w:val="clear" w:fill="eeee80"/>
        </w:rPr>
        <w:t xml:space="preserve">والبيان العملي للقرآن وكلاهما مصدر إلهي معصوم،</w:t>
      </w:r>
    </w:p>
    <w:p>
      <w:pPr/>
      <w:r>
        <w:rPr>
          <w:shd w:val="clear" w:fill="eeee80"/>
        </w:rPr>
        <w:t xml:space="preserve">وتتجلى المرونة في المصادر الاجتهادية التي اختلف فقهاء الأمة في مدى الاحتجاج بها مثل:الإجماع،</w:t>
      </w:r>
    </w:p>
    <w:p>
      <w:pPr/>
      <w:r>
        <w:rPr>
          <w:shd w:val="clear" w:fill="eeee80"/>
        </w:rPr>
        <w:t xml:space="preserve">والمصالح المرسلة وأقوال الصحابة،</w:t>
      </w:r>
    </w:p>
    <w:p>
      <w:pPr/>
      <w:r>
        <w:rPr/>
        <w:t xml:space="preserve">وغير ذلك من مآخذ الاجتهاد،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2026-08-21T22:37:24+00:00</dcterms:created>
  <dcterms:modified xsi:type="dcterms:W3CDTF">2026-08-21T22:37:24+00:00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