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2.5.1.1.</w:t></w:r></w:p><w:p><w:pPr/><w:r><w:rPr/><w:t xml:space="preserve"> Origine de l’attaque par les ions chlorureLes chlorures susceptibles de provoquer la corrosion des armatures dans le béton peuvent avoir deux origines principales :•	Sources internes : les ions chlorure peuvent être introduits lors de la fabrication du béton, notamment par l’utilisation d’une eau de gâchage contenant des sels, ou par l’emploi de granulats contaminés.•	Sources externes : les chlorures peuvent également provenir de l’environnement, notamment dans les zones exposées à l’atmosphère marine, aux sels de déverglaçage utilisés en période hivernale, ou à certains produits chimiques industriels. Dans ces cas, les ions chlorure pénètrent dans le béton principalement par diffusion au fil du temps (Ndzana Akongo & Tchoumi, 2017)Seuls les chlorures libres sont considérés comme étant capables de diffuser à travers la matrice du béton et de jouer un rôle actif dans le processus de dépassivation de la couche protectrice des armatures, entraînant ainsi le déclenchement de la corrosion.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2026-08-24T07:35:04+00:00</dcterms:created>
  <dcterms:modified xsi:type="dcterms:W3CDTF">2026-08-24T07:35:04+00:00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