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décision d'accorder un prêt repose sur la conviction ou la confiance du prêteur dans la capacité de l'emprunteur à rembourser son prêt. L'évaluation de la demande de crédit, qui constitue la première tâche du chargé de crédit, repose sur son analyse. L'entreprise sollicite un financement pour son projet. Ce financement génère-t-il de la valeur ? Que révèlent les analyses qualitatives et quantitatives ? La mission de la Banque d'agriculture et de développement rural (BADR) consiste à collecter des dépôts et à octroyer des prêts. De par son activité, elle est exposée à des risques de crédit. Afin de comprendre et d'évaluer l'approche de la direction en matière de demandes de crédit, nous allons, à partir du traitement d'un dossier de demande de crédit présenté au sein de la cellule opérationnelle régionale de la Banque de l'Agriculture et du Développement Rural (BADR) à Batna, définir le processus et la méthode d'analyse interne des risques de crédit, dans la limite des données disponibles. L'objectif de ce chapitre sera de présenter l'activité de la Banque de l'Agriculture et du Développement Rural (BADR) dans une perspective globale, ainsi que les méthodes d'analyse préventive des risques de crédit au sein de la banque.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2026-11-04T14:51:15+00:00</dcterms:created>
  <dcterms:modified xsi:type="dcterms:W3CDTF">2026-11-04T14:51:15+00:00</dcterms:modified>
</cp:coreProperties>
</file>

<file path=docProps/custom.xml><?xml version="1.0" encoding="utf-8"?>
<Properties xmlns="http://schemas.openxmlformats.org/officeDocument/2006/custom-properties" xmlns:vt="http://schemas.openxmlformats.org/officeDocument/2006/docPropsVTypes"/>
</file>