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حسب ما استقر عليه الفقه والقضاء فإنه لا يجوز أن يكون استعمال الإدارة لرخـصة</w:t>
      </w:r>
    </w:p>
    <w:p>
      <w:pPr/>
      <w:r>
        <w:rPr/>
        <w:t xml:space="preserve"> رخصة دائمة تستخدمها وقتما تشاء،</w:t>
      </w:r>
    </w:p>
    <w:p>
      <w:pPr/>
      <w:r>
        <w:rPr>
          <w:shd w:val="clear" w:fill="eeee80"/>
        </w:rPr>
        <w:t xml:space="preserve"> إذ تظل حقوقاً قلقة ومراكز مضطربة.</w:t>
      </w:r>
    </w:p>
    <w:p>
      <w:pPr/>
      <w:r>
        <w:rPr>
          <w:shd w:val="clear" w:fill="eeee80"/>
        </w:rPr>
        <w:t xml:space="preserve"> وعلى هذا الأساس خرجت القاعدة التي تقرر أنه لا يجوز إلغاء قـرار إداري</w:t>
      </w:r>
    </w:p>
    <w:p>
      <w:pPr/>
      <w:r>
        <w:rPr>
          <w:shd w:val="clear" w:fill="eeee80"/>
        </w:rPr>
        <w:t xml:space="preserve">قد تحصن بمرور المدة المقررة للطعن فيه دون طعن (وهي شهران في فرنسا وستون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2024-03-28T19:46:31+00:00</dcterms:created>
  <dcterms:modified xsi:type="dcterms:W3CDTF">2024-03-28T19:46:31+00:00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