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Donepezil and other cholinomimetic agents have the potential to trigger seizures.</w:t>
      </w:r>
    </w:p>
    <w:p>
      <w:pPr/>
      <w:r>
        <w:rPr>
          <w:shd w:val="clear" w:fill="eeee80"/>
        </w:rPr>
        <w:t xml:space="preserve">Therefore, clinicians should be cautious when prescribing it to patients with a history of seizure disorder.</w:t>
      </w:r>
    </w:p>
    <w:p>
      <w:pPr/>
      <w:r>
        <w:rPr>
          <w:shd w:val="clear" w:fill="eeee80"/>
        </w:rPr>
        <w:t xml:space="preserve">Cholinomimetic agents, including donepezil, have the potential to cause or exacerbate bladder outflow obstruction.</w:t>
      </w:r>
    </w:p>
    <w:p>
      <w:pPr/>
      <w:r>
        <w:rPr>
          <w:shd w:val="clear" w:fill="eeee80"/>
        </w:rPr>
        <w:t xml:space="preserve">Therefore, caution is necessary when prescribing these medications to patients with a history of prostatic hyperplasia.</w:t>
      </w:r>
    </w:p>
    <w:p>
      <w:pPr/>
      <w:r>
        <w:rPr>
          <w:shd w:val="clear" w:fill="eeee80"/>
        </w:rPr>
        <w:t xml:space="preserve">Cholinesterase inhibitors, including donepezil, can lead to increased gastric acid secretion.</w:t>
      </w:r>
    </w:p>
    <w:p>
      <w:pPr/>
      <w:r>
        <w:rPr>
          <w:shd w:val="clear" w:fill="eeee80"/>
        </w:rPr>
        <w:t xml:space="preserve">Hence, caution should be exercised when prescribing these medications to patients at risk of ulcer disease.</w:t>
      </w:r>
    </w:p>
    <w:p>
      <w:pPr/>
      <w:r>
        <w:rPr>
          <w:shd w:val="clear" w:fill="eeee80"/>
        </w:rPr>
        <w:t xml:space="preserve">In addition, monitoring for symptoms of GI bleeding is essential.[26]Donepezil can potentiate muscle relaxation induced by succinylcholine during anesthesia.[27]Donepezil should be prescribed cautiously to patients with a history of asthma or obstructive pulmonary disease because of its cholinomimetic properties.[28]Donepezil should be used with caution in patients at risk for rhabdomyolysis.</w:t>
      </w:r>
    </w:p>
    <w:p>
      <w:pPr/>
      <w:r>
        <w:rPr>
          <w:shd w:val="clear" w:fill="eeee80"/>
        </w:rPr>
        <w:t xml:space="preserve">Risk factors include a history of muscular disorders, uncontrolled hypothyroidism, and concomitant use of medications associated with rhabdomyolysis.[29]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2026-10-21T02:49:47+00:00</dcterms:created>
  <dcterms:modified xsi:type="dcterms:W3CDTF">2026-10-21T02:49:47+00:00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