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تعيين قضاة المحكمة الاتحادية العليا وفقاً لقانون إدارة الدولة لسنة 2004 </w:t>
      </w:r>
    </w:p>
    <w:p>
      <w:pPr/>
      <w:r>
        <w:rPr>
          <w:shd w:val="clear" w:fill="eeee80"/>
        </w:rPr>
        <w:t xml:space="preserve">يُشكل قاضي المحكمة الاتحادية العليا العنصر الأساس والجوهري الذي تقوم عليه المحكمة الاتحادية العليا،</w:t>
      </w:r>
    </w:p>
    <w:p>
      <w:pPr/>
      <w:r>
        <w:rPr>
          <w:shd w:val="clear" w:fill="eeee80"/>
        </w:rPr>
        <w:t xml:space="preserve"> وبالتالي لا يمكن أن تقوم المحكمة الاتحادية دون وجود قضاة متخصصين يباشرون المهام الموكلة إليهم والمحددة دستورياً،</w:t>
      </w:r>
    </w:p>
    <w:p>
      <w:pPr/>
      <w:r>
        <w:rPr>
          <w:shd w:val="clear" w:fill="eeee80"/>
        </w:rPr>
        <w:t xml:space="preserve"> ومن أجل الحديث عن قضاة المحكمة الاتحادية العليا،</w:t>
      </w:r>
    </w:p>
    <w:p>
      <w:pPr/>
      <w:r>
        <w:rPr>
          <w:shd w:val="clear" w:fill="eeee80"/>
        </w:rPr>
        <w:t xml:space="preserve"> لابد لنا من التطرق عن آلية تشكيل المحكمة الاتحادية والأساس القانوني لها.</w:t>
      </w:r>
    </w:p>
    <w:p>
      <w:pPr/>
      <w:r>
        <w:rPr>
          <w:shd w:val="clear" w:fill="eeee80"/>
        </w:rPr>
        <w:t xml:space="preserve"> يمثل قانون إدارة الدولة العراقية للمرحلة الإنتقالية وملحقه،</w:t>
      </w:r>
    </w:p>
    <w:p>
      <w:pPr/>
      <w:r>
        <w:rPr/>
        <w:t xml:space="preserve"> التشريع الاول الذي أسس لإنشاء محكمه اتحادية عليا،</w:t>
      </w:r>
    </w:p>
    <w:p>
      <w:pPr/>
      <w:r>
        <w:rPr>
          <w:shd w:val="clear" w:fill="eeee80"/>
        </w:rPr>
        <w:t xml:space="preserve"> 2004: العدد3986 (</w:t>
      </w:r>
    </w:p>
    <w:p>
      <w:pPr/>
      <w:r>
        <w:rPr>
          <w:shd w:val="clear" w:fill="eeee80"/>
        </w:rPr>
        <w:t xml:space="preserve"> آلية تشكيل المحكمة الاتحادية العليا،</w:t>
      </w:r>
    </w:p>
    <w:p>
      <w:pPr/>
      <w:r>
        <w:rPr>
          <w:shd w:val="clear" w:fill="eeee80"/>
        </w:rPr>
        <w:t xml:space="preserve"> واختصاصاتها وعدد أعضائها،</w:t>
      </w:r>
    </w:p>
    <w:p>
      <w:pPr/>
      <w:r>
        <w:rPr>
          <w:shd w:val="clear" w:fill="eeee80"/>
        </w:rPr>
        <w:t xml:space="preserve"> 3981(</w:t>
      </w:r>
    </w:p>
    <w:p>
      <w:pPr/>
      <w:r>
        <w:rPr>
          <w:shd w:val="clear" w:fill="eeee80"/>
        </w:rPr>
        <w:t xml:space="preserve">وبناءاً على ذلك تم صدور قانون المحكمة الاتحادية العليا رقم (30) لسنه 2005،</w:t>
      </w:r>
    </w:p>
    <w:p>
      <w:pPr/>
      <w:r>
        <w:rPr>
          <w:shd w:val="clear" w:fill="eeee80"/>
        </w:rPr>
        <w:t xml:space="preserve"> وذلك إعمالاً لحكم المادة (44) من قانون إدارة الدولة العراقية للمرحلة الإنتقالية،</w:t>
      </w:r>
    </w:p>
    <w:p>
      <w:pPr/>
      <w:r>
        <w:rPr>
          <w:shd w:val="clear" w:fill="eeee80"/>
        </w:rPr>
        <w:t xml:space="preserve"> حيث جاء في المادة الأولى من قانون المحكمة الاتحادية العليا ما نصه " تُنشئ محكمة تسمى المحكمة الاتحادية العليا،</w:t>
      </w:r>
    </w:p>
    <w:p>
      <w:pPr/>
      <w:r>
        <w:rPr>
          <w:shd w:val="clear" w:fill="eeee80"/>
        </w:rPr>
        <w:t xml:space="preserve"> لا سلطان عليها غير القانون "،</w:t>
      </w:r>
    </w:p>
    <w:p>
      <w:pPr/>
      <w:r>
        <w:rPr>
          <w:shd w:val="clear" w:fill="eeee80"/>
        </w:rPr>
        <w:t xml:space="preserve"> أما المادة الثانية فقد جاء فيها</w:t>
      </w:r>
    </w:p>
    <w:p>
      <w:pPr/>
      <w:r>
        <w:rPr>
          <w:shd w:val="clear" w:fill="eeee80"/>
        </w:rPr>
        <w:t xml:space="preserve"> 2005: العدد 3996).</w:t>
      </w:r>
    </w:p>
    <w:p>
      <w:pPr/>
      <w:r>
        <w:rPr>
          <w:shd w:val="clear" w:fill="eeee80"/>
        </w:rPr>
        <w:t xml:space="preserve"> وتجدر الإشارة الى أن قانون إدارة الدولة للمرحلة الإنتقالية جعل المحكمة الاتحادية من ضمن تشكيلات مجلس القضاء الأعلى،</w:t>
      </w:r>
    </w:p>
    <w:p>
      <w:pPr/>
      <w:r>
        <w:rPr>
          <w:shd w:val="clear" w:fill="eeee80"/>
        </w:rPr>
        <w:t xml:space="preserve"> حيث جاء فيها104</w:t>
      </w:r>
    </w:p>
    <w:p>
      <w:pPr/>
      <w:r>
        <w:rPr>
          <w:shd w:val="clear" w:fill="eeee80"/>
        </w:rPr>
        <w:t xml:space="preserve">يتم إنشاء مجلس أعلى للقضاء،</w:t>
      </w:r>
    </w:p>
    <w:p>
      <w:pPr/>
      <w:r>
        <w:rPr>
          <w:shd w:val="clear" w:fill="eeee80"/>
        </w:rPr>
        <w:t xml:space="preserve"> ويتولى دور مجلس القضاة،</w:t>
      </w:r>
    </w:p>
    <w:p>
      <w:pPr/>
      <w:r>
        <w:rPr>
          <w:shd w:val="clear" w:fill="eeee80"/>
        </w:rPr>
        <w:t xml:space="preserve"> ويدير ميزانية المجلس،</w:t>
      </w:r>
    </w:p>
    <w:p>
      <w:pPr/>
      <w:r>
        <w:rPr>
          <w:shd w:val="clear" w:fill="eeee80"/>
        </w:rPr>
        <w:t xml:space="preserve"> يتشكل هذا المجلس من رئيس المحكمة الاتحادية العليا،</w:t>
      </w:r>
    </w:p>
    <w:p>
      <w:pPr/>
      <w:r>
        <w:rPr>
          <w:shd w:val="clear" w:fill="eeee80"/>
        </w:rPr>
        <w:t xml:space="preserve"> رئيس ونواب محكمة التمييز الاتحادية،</w:t>
      </w:r>
    </w:p>
    <w:p>
      <w:pPr/>
      <w:r>
        <w:rPr>
          <w:shd w:val="clear" w:fill="eeee80"/>
        </w:rPr>
        <w:t xml:space="preserve"> ورؤساء محاكم الاستئناف الاتحادية،</w:t>
      </w:r>
    </w:p>
    <w:p>
      <w:pPr/>
      <w:r>
        <w:rPr>
          <w:shd w:val="clear" w:fill="eeee80"/>
        </w:rPr>
        <w:t xml:space="preserve"> ورئيس كل محكمة أقليمية للتمييز ونائبيه،</w:t>
      </w:r>
    </w:p>
    <w:p>
      <w:pPr/>
      <w:r>
        <w:rPr>
          <w:shd w:val="clear" w:fill="eeee80"/>
        </w:rPr>
        <w:t xml:space="preserve"> يترأس رئيس المحكمة الاتحادية العليا المجلس الأعلى للقضاء،</w:t>
      </w:r>
    </w:p>
    <w:p>
      <w:pPr/>
      <w:r>
        <w:rPr>
          <w:shd w:val="clear" w:fill="eeee80"/>
        </w:rPr>
        <w:t xml:space="preserve"> 2004: المادة (45).</w:t>
      </w:r>
    </w:p>
    <w:p>
      <w:pPr/>
      <w:r>
        <w:rPr>
          <w:shd w:val="clear" w:fill="eeee80"/>
        </w:rPr>
        <w:t xml:space="preserve">ويلاحظ من خلال ما ورد في نص المادة (45) من قانون إدارة الدولة للمرحلة الإنتقالية،</w:t>
      </w:r>
    </w:p>
    <w:p>
      <w:pPr/>
      <w:r>
        <w:rPr>
          <w:shd w:val="clear" w:fill="eeee80"/>
        </w:rPr>
        <w:t xml:space="preserve"> بأن رئيس المحكمة الاتحادية العليا هو رئيس مجلس القضاء الأعلى،</w:t>
      </w:r>
    </w:p>
    <w:p>
      <w:pPr/>
      <w:r>
        <w:rPr>
          <w:shd w:val="clear" w:fill="eeee80"/>
        </w:rPr>
        <w:t xml:space="preserve"> ويرى جانب من فقهاء القانون الدستوري بأن ذلك يؤثر في حياد القاضي الدستوري،</w:t>
      </w:r>
    </w:p>
    <w:p>
      <w:pPr/>
      <w:r>
        <w:rPr>
          <w:shd w:val="clear" w:fill="eeee80"/>
        </w:rPr>
        <w:t xml:space="preserve"> وذلك عندما يكون مجلس القضاء الأعلى طرفاً في الدعوى المقامة أمام المحكمة الاتحادية العليا،</w:t>
      </w:r>
    </w:p>
    <w:p>
      <w:pPr/>
      <w:r>
        <w:rPr>
          <w:shd w:val="clear" w:fill="eeee80"/>
        </w:rPr>
        <w:t xml:space="preserve"> 2020: 85).</w:t>
      </w:r>
    </w:p>
    <w:p>
      <w:pPr/>
      <w:r>
        <w:rPr>
          <w:shd w:val="clear" w:fill="eeee80"/>
        </w:rPr>
        <w:t xml:space="preserve">وفيما يخص تشكيل المحكمة الاتحادية العليا،</w:t>
      </w:r>
    </w:p>
    <w:p>
      <w:pPr/>
      <w:r>
        <w:rPr>
          <w:shd w:val="clear" w:fill="eeee80"/>
        </w:rPr>
        <w:t xml:space="preserve"> فقد تناولته المادة (44/هـ) من قانون إدارة الدولة حيث تناولت آلية تشكيل المحكمة وعدد قضاتها وطريقة أختيارهم،</w:t>
      </w:r>
    </w:p>
    <w:p>
      <w:pPr/>
      <w:r>
        <w:rPr>
          <w:shd w:val="clear" w:fill="eeee80"/>
        </w:rPr>
        <w:t xml:space="preserve"> حيث تتكون المحكمة الاتحادية العليا من رئيس وثمانية قضاة،</w:t>
      </w:r>
    </w:p>
    <w:p>
      <w:pPr/>
      <w:r>
        <w:rPr>
          <w:shd w:val="clear" w:fill="eeee80"/>
        </w:rPr>
        <w:t xml:space="preserve"> يتم أختيار هؤلاء القضاة من خلال ترشيح عدد من القضاة من قبل مجلس القضاء الأعلى،</w:t>
      </w:r>
    </w:p>
    <w:p>
      <w:pPr/>
      <w:r>
        <w:rPr>
          <w:shd w:val="clear" w:fill="eeee80"/>
        </w:rPr>
        <w:t xml:space="preserve"> بحيث لا يقل عددهم عن (18) قاضياً،</w:t>
      </w:r>
    </w:p>
    <w:p>
      <w:pPr/>
      <w:r>
        <w:rPr>
          <w:shd w:val="clear" w:fill="eeee80"/>
        </w:rPr>
        <w:t xml:space="preserve"> ولا يزيد على (27) قاضياً،</w:t>
      </w:r>
    </w:p>
    <w:p>
      <w:pPr/>
      <w:r>
        <w:rPr>
          <w:shd w:val="clear" w:fill="eeee80"/>
        </w:rPr>
        <w:t xml:space="preserve"> يقوم مجلس القضاء الأعلى وبالتشاور مع المجالس القضائية للأقاليم بترشيح القضاة،</w:t>
      </w:r>
    </w:p>
    <w:p>
      <w:pPr/>
      <w:r>
        <w:rPr>
          <w:shd w:val="clear" w:fill="eeee80"/>
        </w:rPr>
        <w:t xml:space="preserve"> ومن ثم يقوم مجلس الرئاسة بتعيين أعضاء المحكمة وتسمية أحدهم رئيساً لها،</w:t>
      </w:r>
    </w:p>
    <w:p>
      <w:pPr/>
      <w:r>
        <w:rPr>
          <w:shd w:val="clear" w:fill="eeee80"/>
        </w:rPr>
        <w:t xml:space="preserve"> وفي حال تم رفض أي تعيين يقوم مجلس القضاء الأعلى بترشيح مجموعة جديدة من (ثلاثة أعضاء ،</w:t>
      </w:r>
    </w:p>
    <w:p>
      <w:pPr/>
      <w:r>
        <w:rPr>
          <w:shd w:val="clear" w:fill="eeee80"/>
        </w:rPr>
        <w:t xml:space="preserve"> 2004: المادة 44/هـ؛</w:t>
      </w:r>
    </w:p>
    <w:p>
      <w:pPr/>
      <w:r>
        <w:rPr>
          <w:shd w:val="clear" w:fill="eeee80"/>
        </w:rPr>
        <w:t xml:space="preserve"> قانون المحكمة الاتحادية العليا رقم 30،</w:t>
      </w:r>
    </w:p>
    <w:p>
      <w:pPr/>
      <w:r>
        <w:rPr>
          <w:shd w:val="clear" w:fill="eeee80"/>
        </w:rPr>
        <w:t xml:space="preserve"> 2005 : المادة (3)</w:t>
      </w:r>
    </w:p>
    <w:p>
      <w:pPr/>
      <w:r>
        <w:rPr>
          <w:shd w:val="clear" w:fill="eeee80"/>
        </w:rPr>
        <w:t xml:space="preserve"> وبناءاً على ما تقدم،</w:t>
      </w:r>
    </w:p>
    <w:p>
      <w:pPr/>
      <w:r>
        <w:rPr>
          <w:shd w:val="clear" w:fill="eeee80"/>
        </w:rPr>
        <w:t xml:space="preserve"> فإن مجلس الرئاسة هو الجهة المختصة بتعيين قضاة المحكمة الاتحادية العليا،</w:t>
      </w:r>
    </w:p>
    <w:p>
      <w:pPr/>
      <w:r>
        <w:rPr>
          <w:shd w:val="clear" w:fill="eeee80"/>
        </w:rPr>
        <w:t xml:space="preserve"> ولكن يشترط أن يصدر قرارها بالإجماع،</w:t>
      </w:r>
    </w:p>
    <w:p>
      <w:pPr/>
      <w:r>
        <w:rPr>
          <w:shd w:val="clear" w:fill="eeee80"/>
        </w:rPr>
        <w:t xml:space="preserve"> وذلك استناداً إلى نص المادة (36/ج) من قانون إدارة الدولة للمرحلة الإنتقالية قانون إدارة الدولة للمرحلة الإنتقالية،</w:t>
      </w:r>
    </w:p>
    <w:p>
      <w:pPr/>
      <w:r>
        <w:rPr>
          <w:shd w:val="clear" w:fill="eeee80"/>
        </w:rPr>
        <w:t xml:space="preserve"> 2004 : المادة 36/ج و 44/هـ).</w:t>
      </w:r>
    </w:p>
    <w:p>
      <w:pPr/>
      <w:r>
        <w:rPr>
          <w:shd w:val="clear" w:fill="eeee80"/>
        </w:rPr>
        <w:t xml:space="preserve"> حيث قام رئيس مجلس القضاء الأعلى القاضي (مدحت (المحمود بالإعلان عن فتح باب الترشيح لعضوية المحكمة</w:t>
      </w:r>
    </w:p>
    <w:p>
      <w:pPr/>
      <w:r>
        <w:rPr>
          <w:shd w:val="clear" w:fill="eeee80"/>
        </w:rPr>
        <w:t xml:space="preserve">الاتحادية العليا،</w:t>
      </w:r>
    </w:p>
    <w:p>
      <w:pPr/>
      <w:r>
        <w:rPr>
          <w:shd w:val="clear" w:fill="eeee80"/>
        </w:rPr>
        <w:t xml:space="preserve"> والتي أسفرت في نهاية الأمر عن ترشيح (27) قاضياً لرئاسة وعضوية المحكمة الاتحادية العليا،</w:t>
      </w:r>
    </w:p>
    <w:p>
      <w:pPr/>
      <w:r>
        <w:rPr>
          <w:shd w:val="clear" w:fill="eeee80"/>
        </w:rPr>
        <w:t xml:space="preserve"> 2007: 39-40).</w:t>
      </w:r>
    </w:p>
    <w:p>
      <w:pPr/>
      <w:r>
        <w:rPr>
          <w:shd w:val="clear" w:fill="eeee80"/>
        </w:rPr>
        <w:t xml:space="preserve">105</w:t>
      </w:r>
    </w:p>
    <w:p>
      <w:pPr/>
      <w:r>
        <w:rPr>
          <w:shd w:val="clear" w:fill="eeee80"/>
        </w:rPr>
        <w:t xml:space="preserve">ويشير بعض فقهاء القانون الدستوري إلى أن المشرع العراقي حسناً فعل عندما حدد أعضاء المحكمة الاتحادية العليا في قانون إدارة الدولة للمرحلة الانتقالية،</w:t>
      </w:r>
    </w:p>
    <w:p>
      <w:pPr/>
      <w:r>
        <w:rPr>
          <w:shd w:val="clear" w:fill="eeee80"/>
        </w:rPr>
        <w:t xml:space="preserve"> وأن ذلك له أثر إيجابي يتمثل بتفادي قيام السلطة التشريعية لأي سبب بتعديل عدد قضاة المحكمة الاتحادية زيادة ونقصاً من خلال تشريعها لقانون المحكمة (الشافعي،</w:t>
      </w:r>
    </w:p>
    <w:p>
      <w:pPr/>
      <w:r>
        <w:rPr>
          <w:shd w:val="clear" w:fill="eeee80"/>
        </w:rPr>
        <w:t xml:space="preserve"> 2012: 12).</w:t>
      </w:r>
    </w:p>
    <w:p>
      <w:pPr/>
      <w:r>
        <w:rPr>
          <w:shd w:val="clear" w:fill="eeee80"/>
        </w:rPr>
        <w:t xml:space="preserve">أما ما يخُص مُدة العضوية لقاضي المحكمة الاتحادية العليا فنجد أن قانون إدارة الدولة للمرحلة الإنتقالية لعام 2004 ،</w:t>
      </w:r>
    </w:p>
    <w:p>
      <w:pPr/>
      <w:r>
        <w:rPr>
          <w:shd w:val="clear" w:fill="eeee80"/>
        </w:rPr>
        <w:t xml:space="preserve"> لم يرد فيه نصاً يُبين مدة العضوية،</w:t>
      </w:r>
    </w:p>
    <w:p>
      <w:pPr/>
      <w:r>
        <w:rPr>
          <w:shd w:val="clear" w:fill="eeee80"/>
        </w:rPr>
        <w:t xml:space="preserve"> كما أن قانون المحكمة الاتحادية العليا رقم (30) لسنة 2005،</w:t>
      </w:r>
    </w:p>
    <w:p>
      <w:pPr/>
      <w:r>
        <w:rPr>
          <w:shd w:val="clear" w:fill="eeee80"/>
        </w:rPr>
        <w:t xml:space="preserve"> لم يتطرق الى تحديد مدة العضوية لقضاة المحكمة،</w:t>
      </w:r>
    </w:p>
    <w:p>
      <w:pPr/>
      <w:r>
        <w:rPr>
          <w:shd w:val="clear" w:fill="eeee80"/>
        </w:rPr>
        <w:t xml:space="preserve"> وإنما قرر أستمرار قاضي المحكمة الاتحادية العليا بالخدمة،</w:t>
      </w:r>
    </w:p>
    <w:p>
      <w:pPr/>
      <w:r>
        <w:rPr>
          <w:shd w:val="clear" w:fill="eeee80"/>
        </w:rPr>
        <w:t xml:space="preserve"> علماً إن قانون إدارة الدولة لم يشير إلى ذلك في نصوصه (عمر،</w:t>
      </w:r>
    </w:p>
    <w:p>
      <w:pPr/>
      <w:r>
        <w:rPr>
          <w:shd w:val="clear" w:fill="eeee80"/>
        </w:rPr>
        <w:t xml:space="preserve"> 2017: 444).</w:t>
      </w:r>
    </w:p>
    <w:p>
      <w:pPr/>
      <w:r>
        <w:rPr/>
        <w:t xml:space="preserve">وهذا ما أكدت عليه المادة (6 (ثالثاً) من قانون المحكمة الاتحادية العليا،</w:t>
      </w:r>
    </w:p>
    <w:p>
      <w:pPr/>
      <w:r>
        <w:rPr>
          <w:shd w:val="clear" w:fill="eeee80"/>
        </w:rPr>
        <w:t xml:space="preserve"> حيث ورد فيها " يستمر رئيس وأعضاء المحكمة الاتحادية العليا بالخدمة دون تحديد حد أعلى للعمر،</w:t>
      </w:r>
    </w:p>
    <w:p>
      <w:pPr/>
      <w:r>
        <w:rPr>
          <w:shd w:val="clear" w:fill="eeee80"/>
        </w:rPr>
        <w:t xml:space="preserve"> إلا إذا رغب بترك الخدمة ،</w:t>
      </w:r>
    </w:p>
    <w:p>
      <w:pPr/>
      <w:r>
        <w:rPr/>
        <w:t xml:space="preserve"> ويرى جانب من الفقه بأن ترك قضاة المحكمة الاتحادية العليا دون تحديد سن قانوني للخدمة أمر غير مُحبّذ،</w:t>
      </w:r>
    </w:p>
    <w:p>
      <w:pPr/>
      <w:r>
        <w:rPr>
          <w:shd w:val="clear" w:fill="eeee80"/>
        </w:rPr>
        <w:t xml:space="preserve"> من شأنها أن تؤثر سلباً في أداء عملهم بالشكل المطلوب (الشافعي،</w:t>
      </w:r>
    </w:p>
    <w:p>
      <w:pPr/>
      <w:r>
        <w:rPr>
          <w:shd w:val="clear" w:fill="eeee80"/>
        </w:rPr>
        <w:t xml:space="preserve"> 2012: 12).</w:t>
      </w:r>
    </w:p>
    <w:p>
      <w:pPr/>
      <w:r>
        <w:rPr>
          <w:shd w:val="clear" w:fill="eeee80"/>
        </w:rPr>
        <w:t xml:space="preserve"> وفيما يخص الشروط التي يجب توافرها في قضاة المحكمة الاتحادية العليا،</w:t>
      </w:r>
    </w:p>
    <w:p>
      <w:pPr/>
      <w:r>
        <w:rPr/>
        <w:t xml:space="preserve"> نجد أيضاً أن قانون إدارة الدولة للمرحلة الإنتقالية وقانون المحكمة الاتحادية العليا لم يتطرقا إلى تحديد شروط العضوية المحكمة الاتحادية العليا،</w:t>
      </w:r>
    </w:p>
    <w:p>
      <w:pPr/>
      <w:r>
        <w:rPr>
          <w:shd w:val="clear" w:fill="eeee80"/>
        </w:rPr>
        <w:t xml:space="preserve"> حيث خلت نصوصهما من أي إشارة إلى تحديد شروط العضوية،</w:t>
      </w:r>
    </w:p>
    <w:p>
      <w:pPr/>
      <w:r>
        <w:rPr>
          <w:shd w:val="clear" w:fill="eeee80"/>
        </w:rPr>
        <w:t xml:space="preserve"> وهذا يدل على فتح الأفق إتجاه ترشيح أشخاص قد لا تتوفر فيهم الكفاءة والخبرة اللازمة لعضوية المحكمة الاتحادية العليا (أحمد،</w:t>
      </w:r>
    </w:p>
    <w:p>
      <w:pPr/>
      <w:r>
        <w:rPr>
          <w:shd w:val="clear" w:fill="eeee80"/>
        </w:rPr>
        <w:t xml:space="preserve"> 2017: 14).</w:t>
      </w:r>
    </w:p>
    <w:p>
      <w:pPr/>
      <w:r>
        <w:rPr/>
        <w:t xml:space="preserve">ويشير بعض فقهاء القانون الدستوري إلى ضرورة أن يتضمن قانون المحكمة الاتحادية العليا نصوصاً صريحة تُحدد بموجبها شروط العضوية،</w:t>
      </w:r>
    </w:p>
    <w:p>
      <w:pPr/>
      <w:r>
        <w:rPr>
          <w:shd w:val="clear" w:fill="eeee80"/>
        </w:rPr>
        <w:t xml:space="preserve"> كتلك التي تتعلق بشرط الجنسية والمواطنة،</w:t>
      </w:r>
    </w:p>
    <w:p>
      <w:pPr/>
      <w:r>
        <w:rPr>
          <w:shd w:val="clear" w:fill="eeee80"/>
        </w:rPr>
        <w:t xml:space="preserve"> بالإضافة الى تحديد سن معين للترشيح الزبيدي،</w:t>
      </w:r>
    </w:p>
    <w:p>
      <w:pPr/>
      <w:r>
        <w:rPr>
          <w:shd w:val="clear" w:fill="eeee80"/>
        </w:rPr>
        <w:t xml:space="preserve"> 2010: 218).</w:t>
      </w:r>
    </w:p>
    <w:p>
      <w:pPr/>
      <w:r>
        <w:rPr>
          <w:shd w:val="clear" w:fill="eeee80"/>
        </w:rPr>
        <w:t xml:space="preserve">من قانون إدارة الدولة،</w:t>
      </w:r>
    </w:p>
    <w:p>
      <w:pPr/>
      <w:r>
        <w:rPr>
          <w:shd w:val="clear" w:fill="eeee80"/>
        </w:rPr>
        <w:t xml:space="preserve"> والذي يفترض أن لا يتعارض معه،</w:t>
      </w:r>
    </w:p>
    <w:p>
      <w:pPr/>
      <w:r>
        <w:rPr>
          <w:shd w:val="clear" w:fill="eeee80"/>
        </w:rPr>
        <w:t xml:space="preserve"> حيث نجد أن الإستقلال المالي والإداري المنصوص عليه في المادة (2) من قانون المحكمة الاتحادية العليا لم يتحقق،</w:t>
      </w:r>
    </w:p>
    <w:p>
      <w:pPr/>
      <w:r>
        <w:rPr>
          <w:shd w:val="clear" w:fill="eeee80"/>
        </w:rPr>
        <w:t xml:space="preserve"> فضلاً عن كونه لم يرد النص عليه قانون إدارة الدولة،</w:t>
      </w:r>
    </w:p>
    <w:p>
      <w:pPr/>
      <w:r>
        <w:rPr>
          <w:shd w:val="clear" w:fill="eeee80"/>
        </w:rPr>
        <w:t xml:space="preserve"> فمن الناحية المالية نجد أن مجلس القضاء الأعلى هو من يدير شؤون ميزانية المجلس،</w:t>
      </w:r>
    </w:p>
    <w:p>
      <w:pPr/>
      <w:r>
        <w:rPr>
          <w:shd w:val="clear" w:fill="eeee80"/>
        </w:rPr>
        <w:t xml:space="preserve"> كما أن مجلس القضاء الأعلى هو الذي يُشرف على القضاء الاتحادي والتي تُعتبر المحكمة الاتحادية العليا جزءاً منه،</w:t>
      </w:r>
    </w:p>
    <w:p>
      <w:pPr/>
      <w:r>
        <w:rPr>
          <w:shd w:val="clear" w:fill="eeee80"/>
        </w:rPr>
        <w:t xml:space="preserve"> كما أنه هو الذي يقوم بترشيح قضاة المحكمة الاتحادية العليا بالتشاور مع المجالس القضائية للأقاليم ،</w:t>
      </w:r>
    </w:p>
    <w:p>
      <w:pPr/>
      <w:r>
        <w:rPr>
          <w:shd w:val="clear" w:fill="eeee80"/>
        </w:rPr>
        <w:t xml:space="preserve"> وبناءاً على ذلك لم يتحقق الإستقلال المالي والإداري) للمحكمة الاتحادية العليا،</w:t>
      </w:r>
    </w:p>
    <w:p>
      <w:pPr/>
      <w:r>
        <w:rPr>
          <w:shd w:val="clear" w:fill="eeee80"/>
        </w:rPr>
        <w:t xml:space="preserve"> ونرى أن ما جاء في نص المادة (2) من قانون المحكمة الاتحادية العليا رقم 30 لسنة 2005،</w:t>
      </w:r>
    </w:p>
    <w:p>
      <w:pPr/>
      <w:r>
        <w:rPr>
          <w:shd w:val="clear" w:fill="eeee80"/>
        </w:rPr>
        <w:t xml:space="preserve"> يتعارض مع ما جاء به قانون إدارة الدولة للمرحلة الإنتقالية،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2026-09-05T07:00:02+00:00</dcterms:created>
  <dcterms:modified xsi:type="dcterms:W3CDTF">2026-09-05T07:00:02+00:00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