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انتظار الريح المواتية لتدفع الشراع لكن الريح ليست الوسيلة الوحيدة لإبحار السفينة على عجل بغية اغتنام فرصة تبدت فجأة أو تحقيق السبق في مشروع معين وقطع الطريق على المنافسة لذا فإن بعض مشاريع التنمية تلد ولادة طبيعية بعد مراحل التروي.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