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الاستقلال مباشرة، وكإجراء سيادي، تم إنشاء البنك المركزي الجزائري في 13 ديسمبر 1962 12 إلا أن ذلك لم يكن كافيا ، حيث ورثت الجزائر بعد الاستقلال نظاما اقتصاديا تابعا للاقتصاد الفرنسي، والأمر ذاته بالنسبة للنظام البنكي،التجارية العاملة عبارة عن فروع للبنوك الأم الموجودة في فرنسا. " و هكذا ظهر النظام المصرفي الجزائري في ظروف صعبة،للمتطلبات الواسعة للاقتصاد الوطني في تلك الفترة. ونظرا لضخامة الاستثمارات التي عرفتها الجزائر في تلك المرحلة ،</w:t>
      </w:r>
    </w:p>
    <w:p>
      <w:pPr/>
      <w:r>
        <w:rPr>
          <w:shd w:val="clear" w:fill="eeee80"/>
        </w:rPr>
        <w:t xml:space="preserve">على تمويل المشاريع متوسطة و قصيرة الأجل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2026-09-22T13:20:13+00:00</dcterms:created>
  <dcterms:modified xsi:type="dcterms:W3CDTF">2026-09-22T13:20:13+00:00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