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Australians were less excited to help Britain in WWII compared to WWI because the emotional impact of the first war, which had caused heavy casualties, made them more cautious. Additionally, there was growing awareness of Australia’s distinct national identity, even though ties to Britain remained strong.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