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صلاة السَّحَر وفي صلاة الغروب،</w:t>
      </w:r>
    </w:p>
    <w:p>
      <w:pPr/>
      <w:r>
        <w:rPr/>
        <w:t xml:space="preserve"> بصفة كونهما أكثر الساعات شعبية،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فان الصلاة الربية تتلى ثلاث مرات في النهار باحتفال: اي في القداس وفي صلاة السَّحَر وفي صلاة الغروب.</w:t>
      </w:r>
    </w:p>
    <w:p>
      <w:pPr/>
      <w:r>
        <w:rPr>
          <w:shd w:val="clear" w:fill="eeee80"/>
        </w:rPr>
        <w:t xml:space="preserve">تتلو الجماعة كلها الصلاة الربية،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2026-10-02T07:20:28+00:00</dcterms:created>
  <dcterms:modified xsi:type="dcterms:W3CDTF">2026-10-02T07:20:28+00:00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