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مهنة التدقيق في حالة ركود بسبب طبيعة العمل وتراجع دور مدقق الحسابات في شركات الأموال. اقتصر عملهم على بعض الأعمال البسيطة في الجمعيات السكنية والخيرية والضرائب. يرجع هذا التراجع إلى قيام الجهاز المركزي للرقابة المالية بتولي أعمال التدقيق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