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 وادي الركاء أحد العناصر البيئية البارزة في المنطقة،</w:t>
      </w:r>
    </w:p>
    <w:p>
      <w:pPr/>
      <w:r>
        <w:rPr>
          <w:shd w:val="clear" w:fill="eeee80"/>
        </w:rPr>
        <w:t xml:space="preserve"> إذ يشكل مجرى وادي واسع تتفرع منه عدد من الشعاب الفرعية،</w:t>
      </w:r>
    </w:p>
    <w:p>
      <w:pPr/>
      <w:r>
        <w:rPr>
          <w:shd w:val="clear" w:fill="eeee80"/>
        </w:rPr>
        <w:t xml:space="preserve"> ما يشير إلى أهميته كرافد طبيعي محوري ساهم في تشكيل نمط الاستيطان البشري واستقطاب النشاط الاقتصادي المرتبط بالماء والتنقل،</w:t>
      </w:r>
    </w:p>
    <w:p>
      <w:pPr/>
      <w:r>
        <w:rPr>
          <w:shd w:val="clear" w:fill="eeee80"/>
        </w:rPr>
        <w:t xml:space="preserve"> كما تُظهر هذه المعطيات الأولية أهمية المنطقة بوصفها حيزًا استيطانيًا نشطًا،</w:t>
      </w:r>
    </w:p>
    <w:p>
      <w:pPr/>
      <w:r>
        <w:rPr>
          <w:shd w:val="clear" w:fill="eeee80"/>
        </w:rPr>
        <w:t xml:space="preserve"> اجتمع فيه توفر الموارد الطبيعية مع ملاءمة التضاريس لتكوين شبكة من المواقع التي تنوعت وظيفيًا وزمنيًا.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2026-08-24T16:50:13+00:00</dcterms:created>
  <dcterms:modified xsi:type="dcterms:W3CDTF">2026-08-24T16:50:13+00:00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