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يتمثل التضخم الحر في ارتفاع مستمر لأسعار السلع والخدمات دون أي تدخل حكومي للتحكم فيه.  وهذا الارتفاع ناتج عن فائض في الطلب على السلع والخدمات،  دون أي آلية تنظيمية توازن بين العرض والطلب.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