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منثانيا:الأمر بالإحالة إلى محكمة الجنح أو المخالفات:إذا انتهى قاضي التحقيق من تحقيقه في الموضوع فانه يقوم بإرسال ملف القضية لوكيل الجمهورية لإبداء طلباته الختامية في المهلة المحددة قانونا في المادة 162 ج.</w:t>
      </w:r>
    </w:p>
    <w:p>
      <w:pPr/>
      <w:r>
        <w:rPr>
          <w:shd w:val="clear" w:fill="eeee80"/>
        </w:rPr>
        <w:t xml:space="preserve">إلى وكيل الجمهورية بعد أن يقوم الكاتب بترقيمه وعلى وكيل الجمهورية تقديم طلباته الإحالة بإحدى الصورتين إليه خلال 10أيام على الأكثر".</w:t>
      </w:r>
    </w:p>
    <w:p>
      <w:pPr/>
      <w:r>
        <w:rPr>
          <w:shd w:val="clear" w:fill="eeee80"/>
        </w:rPr>
        <w:t xml:space="preserve"> - وبعد تقديم النيابة العامة هذه الطلبات وتبين لقاضي التحقيق أن الوقائع المعروضة عليه تكون جريمة جناية أو مخالفة طبقا لأحكام قانون العقوبات أو القوانين المكملة 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2026-10-21T20:09:43+00:00</dcterms:created>
  <dcterms:modified xsi:type="dcterms:W3CDTF">2026-10-21T20:09:43+00:00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