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شهد التعمير منذ الاستقلال وإلى حد الآن تطورات هامة وهيكلية ليصبح قطاعا منظما وحيويا.</w:t>
      </w:r>
    </w:p>
    <w:p>
      <w:pPr/>
      <w:r>
        <w:rPr>
          <w:shd w:val="clear" w:fill="eeee80"/>
        </w:rPr>
        <w:t xml:space="preserve">"بعد الاستقلال صدرت المجلة العمرانية بمقتضى قانون عدد 44 لسنة 1979 المؤرخ في 15</w:t>
      </w:r>
    </w:p>
    <w:p>
      <w:pPr/>
      <w:r>
        <w:rPr>
          <w:shd w:val="clear" w:fill="eeee80"/>
        </w:rPr>
        <w:t xml:space="preserve">أوت ،</w:t>
      </w:r>
    </w:p>
    <w:p>
      <w:pPr/>
      <w:r>
        <w:rPr>
          <w:shd w:val="clear" w:fill="eeee80"/>
        </w:rPr>
        <w:t xml:space="preserve">1979 حيث مثلت نقلة نوعية في مجال التعمير وضبطت جملة الأدوات والتوجهات التي أفضت</w:t>
      </w:r>
    </w:p>
    <w:p>
      <w:pPr/>
      <w:r>
        <w:rPr>
          <w:shd w:val="clear" w:fill="eeee80"/>
        </w:rPr>
        <w:t xml:space="preserve">إلى إصدار مجلة التهيئة الترابية والتعمير بمقتضى قانون عدد 122 لسنة 1994 المؤرخ في 28</w:t>
      </w:r>
    </w:p>
    <w:p>
      <w:pPr/>
      <w:r>
        <w:rPr>
          <w:shd w:val="clear" w:fill="eeee80"/>
        </w:rPr>
        <w:t xml:space="preserve">والتكامل بينها.</w:t>
      </w:r>
    </w:p>
    <w:p>
      <w:pPr/>
      <w:r>
        <w:rPr>
          <w:shd w:val="clear" w:fill="eeee80"/>
        </w:rPr>
        <w:t xml:space="preserve"> وقد تم تنقيحها</w:t>
      </w:r>
    </w:p>
    <w:p>
      <w:pPr/>
      <w:r>
        <w:rPr>
          <w:shd w:val="clear" w:fill="eeee80"/>
        </w:rPr>
        <w:t xml:space="preserve">في عديد من المناسبات لتتلاءم مع متطلبات القطاع".</w:t>
      </w:r>
    </w:p>
    <w:p>
      <w:pPr/>
      <w:r>
        <w:rPr>
          <w:shd w:val="clear" w:fill="eeee80"/>
        </w:rPr>
        <w:t xml:space="preserve">المصدر: موقع وزارة التجهيز والإسكان والتهيئة الترابية.</w:t>
      </w:r>
    </w:p>
    <w:p>
      <w:pPr/>
      <w:r>
        <w:rPr>
          <w:shd w:val="clear" w:fill="eeee80"/>
        </w:rPr>
        <w:t xml:space="preserve">مما جعل المصالح المختصة بمجال التعمير من تحيين وتعديل الإطار التشريعي وتحسين</w:t>
      </w:r>
    </w:p>
    <w:p>
      <w:pPr/>
      <w:r>
        <w:rPr>
          <w:shd w:val="clear" w:fill="eeee80"/>
        </w:rPr>
        <w:t xml:space="preserve">التوسعات العمرانية الغير قانونية،</w:t>
      </w:r>
    </w:p>
    <w:p>
      <w:pPr/>
      <w:r>
        <w:rPr>
          <w:shd w:val="clear" w:fill="eeee80"/>
        </w:rPr>
        <w:t xml:space="preserve">العمرانية وتأهيلها،</w:t>
      </w:r>
    </w:p>
    <w:p>
      <w:pPr/>
      <w:r>
        <w:rPr>
          <w:shd w:val="clear" w:fill="eeee80"/>
        </w:rPr>
        <w:t xml:space="preserve"> وكذلك إيجاد التوازن بين مختلف وظائف المدينة.</w:t>
      </w:r>
    </w:p>
    <w:p>
      <w:pPr/>
      <w:r>
        <w:rPr>
          <w:shd w:val="clear" w:fill="eeee80"/>
        </w:rPr>
        <w:t xml:space="preserve">في هذا الإطار تأتي أهمية نظم المعلومات الجغرافية في تعزيز فعالية ودقة العمليات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2026-10-12T18:51:30+00:00</dcterms:created>
  <dcterms:modified xsi:type="dcterms:W3CDTF">2026-10-12T18:51:30+00:00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