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والذي يعرض أيضًا المسؤولية الاجتماعية والبيئية للشركة.  ونظرًا لجهودها لتقليل الضرر البيئي،  فإن الشركات ذات ESG العالية تكون أقل عرضة لمخاطر التقاضي.  غالبًا ما يتم تشغيل جوانب ESG واستخدامها لتقييم الأداء الاجتماعي للشركات.  تُفهم مخاطر الشركة عمومًا على أنها احتمالية خسارة قيمة الشركة نتيجة لعدم اليقين المحيط بالنتائج أو الأحداث المستقبلية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