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الإجراء الإداري عنصراً أساسيًا للحفاظ على قوة القانون وصون الحقوق والاتصالات داخل المؤسسة التعليمية العامة.</w:t>
      </w:r>
    </w:p>
    <w:p>
      <w:pPr/>
      <w:r>
        <w:rPr>
          <w:shd w:val="clear" w:fill="eeee80"/>
        </w:rPr>
        <w:t xml:space="preserve"> تفرض القوانين والإداريات الصارمة على الإدارة الالتزام بالقواعد الشرعية والقواعد الموضوعية عند صدور القرارات التأديبية أو القرارات التي تضر بالموظفين أو وثائقها.</w:t>
      </w:r>
    </w:p>
    <w:p>
      <w:pPr/>
      <w:r>
        <w:rPr>
          <w:shd w:val="clear" w:fill="eeee80"/>
        </w:rPr>
        <w:t xml:space="preserve"> فإن النشاط المذكور يدور حول قيام عميد الكلية بإصدار قرار إداري يقضي بتوقيف أستاذ مؤقتًا مع تعليق راتبه،</w:t>
      </w:r>
    </w:p>
    <w:p>
      <w:pPr/>
      <w:r>
        <w:rPr/>
        <w:t xml:space="preserve"> وذلك بسبب اخلاله بالواجبات المهنية والغياب المتكرر عن جلسات مجالس الأقسام،</w:t>
      </w:r>
    </w:p>
    <w:p>
      <w:pPr/>
      <w:r>
        <w:rPr>
          <w:shd w:val="clear" w:fill="eeee80"/>
        </w:rPr>
        <w:t xml:space="preserve"> بناءً على تقرير شفهي قدمه رئيس القسم،</w:t>
      </w:r>
    </w:p>
    <w:p>
      <w:pPr/>
      <w:r>
        <w:rPr/>
        <w:t xml:space="preserve"> وذلك دون إصدار إشعار مسبق، كما تم اعتماد القرار رقميًا عبر نظام التراسل الداخلي دون إرفاق تفويض الاختصاص.</w:t>
      </w:r>
    </w:p>
    <w:p>
      <w:pPr/>
      <w:r>
        <w:rPr>
          <w:shd w:val="clear" w:fill="eeee80"/>
        </w:rPr>
        <w:t xml:space="preserve"> أرسلت الإدارة رسالة تضم عبارات تحفيزية واتهامات شخصية،</w:t>
      </w:r>
    </w:p>
    <w:p>
      <w:pPr/>
      <w:r>
        <w:rPr/>
        <w:t xml:space="preserve"> وذلك بدعوى حماية النظام العام للمؤسسة.</w:t>
      </w:r>
    </w:p>
    <w:p>
      <w:pPr/>
      <w:r>
        <w:rPr>
          <w:shd w:val="clear" w:fill="eeee80"/>
        </w:rPr>
        <w:t xml:space="preserve"> تظهر المسألة القانونية الأساسية في استفسار يدور حول مدى صحة قرار العميد من حيث الشكل والمحتوى،</w:t>
      </w:r>
    </w:p>
    <w:p>
      <w:pPr/>
      <w:r>
        <w:rPr>
          <w:shd w:val="clear" w:fill="eeee80"/>
        </w:rPr>
        <w:t xml:space="preserve"> بناءً على متطلبات القرار الإداري،</w:t>
      </w:r>
    </w:p>
    <w:p>
      <w:pPr/>
      <w:r>
        <w:rPr/>
        <w:t xml:space="preserve"> وكذلك الفرق بين التقرير العلني والمستندات الإدارية المُثبتة، ومدى صحة و đúngية الصياغة التي استخدمها المسؤول في الرد،</w:t>
      </w:r>
    </w:p>
    <w:p>
      <w:pPr/>
      <w:r>
        <w:rPr>
          <w:shd w:val="clear" w:fill="eeee80"/>
        </w:rPr>
        <w:t xml:space="preserve"> وفقاً لقواعد ومواريث صياغة الأوراق الإدارية.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2026-11-03T22:14:03+00:00</dcterms:created>
  <dcterms:modified xsi:type="dcterms:W3CDTF">2026-11-03T22:14:03+00:00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