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ولا نتحدث هنا عن مجموعات كبيرة بأقسامها الوظيفية (التسويق،</w:t>
      </w:r>
    </w:p>
    <w:p>
      <w:pPr/>
      <w:r>
        <w:rPr>
          <w:shd w:val="clear" w:fill="eeee80"/>
        </w:rPr>
        <w:t xml:space="preserve"> سمح الحجر لبعض الوقت ببعض البدائل،</w:t>
      </w:r>
    </w:p>
    <w:p>
      <w:pPr/>
      <w:r>
        <w:rPr>
          <w:shd w:val="clear" w:fill="eeee80"/>
        </w:rPr>
        <w:t xml:space="preserve"> وعروض عبر الإنترنت كانت موضع تقدير بلا شك،</w:t>
      </w:r>
    </w:p>
    <w:p>
      <w:pPr/>
      <w:r>
        <w:rPr>
          <w:shd w:val="clear" w:fill="eeee80"/>
        </w:rPr>
        <w:t xml:space="preserve"> لكنها لم تكن تتمتع بنكهة "الحية".</w:t>
      </w:r>
    </w:p>
    <w:p>
      <w:pPr/>
      <w:r>
        <w:rPr>
          <w:shd w:val="clear" w:fill="eeee80"/>
        </w:rPr>
        <w:t xml:space="preserve"> لقد طور أصحاب المطاعم خدمة الوجبات السريعة،</w:t>
      </w:r>
    </w:p>
    <w:p>
      <w:pPr/>
      <w:r>
        <w:rPr>
          <w:shd w:val="clear" w:fill="eeee80"/>
        </w:rPr>
        <w:t xml:space="preserve"> لكن هذه الخدمة لا تتمتع بجاذبية قضاء أمسية في مطعم مع الأصدقاء أو كزوجين.</w:t>
      </w:r>
    </w:p>
    <w:p>
      <w:pPr/>
      <w:r>
        <w:rPr/>
        <w:t xml:space="preserve"> يجب ملاحظة هذه العناصر الأخيرة (انظر 2.</w:t>
      </w:r>
    </w:p>
    <w:p>
      <w:pPr/>
      <w:r>
        <w:rPr>
          <w:shd w:val="clear" w:fill="eeee80"/>
        </w:rPr>
        <w:t xml:space="preserve"> وهكذا ولّد الفيروس عملية ابتكار مستمرة أو متقطعة.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2026-11-03T15:11:10+00:00</dcterms:created>
  <dcterms:modified xsi:type="dcterms:W3CDTF">2026-11-03T15:11:10+00:00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