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التراكمية: تأتي كنتيجة حتمية لخاصية الاستمرارية حيث أن استمرار وجود الثقافة يؤدي بالضرورة إلى تراكم السمات الثقافية،</w:t>
      </w:r>
    </w:p>
    <w:p>
      <w:pPr/>
      <w:r>
        <w:rPr>
          <w:shd w:val="clear" w:fill="eeee80"/>
        </w:rPr>
        <w:t xml:space="preserve"> وبالتالي تعقد وتشابك العناصر الثقافية المكونة لها،</w:t>
      </w:r>
    </w:p>
    <w:p>
      <w:pPr/>
      <w:r>
        <w:rPr>
          <w:shd w:val="clear" w:fill="eeee80"/>
        </w:rPr>
        <w:t xml:space="preserve"> مع الإشارة إلى الاختلاف من حيث طريقة التراكم،</w:t>
      </w:r>
    </w:p>
    <w:p>
      <w:pPr/>
      <w:r>
        <w:rPr>
          <w:shd w:val="clear" w:fill="eeee80"/>
        </w:rPr>
        <w:t xml:space="preserve"> وأدوات الإنتاج لكل منها طريقتها في التراكم.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2026-10-20T05:34:14+00:00</dcterms:created>
  <dcterms:modified xsi:type="dcterms:W3CDTF">2026-10-20T05:34:14+00:00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