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…يعتبر قطاع التجارة والخدمات قطاعا حيويا في اقتصاد الولايات المتحدة الأمريكية،</w:t>
      </w:r>
    </w:p>
    <w:p>
      <w:pPr/>
      <w:r>
        <w:rPr>
          <w:shd w:val="clear" w:fill="eeee80"/>
        </w:rPr>
        <w:t xml:space="preserve"> لاستفادته من ارتفاع حجم الإنتاج الفلاحي والصناعي وضخامة الاستثمارات،</w:t>
      </w:r>
    </w:p>
    <w:p>
      <w:pPr/>
      <w:r>
        <w:rPr>
          <w:shd w:val="clear" w:fill="eeee80"/>
        </w:rPr>
        <w:t xml:space="preserve"> ووجود سوق استهلاكية واسعة وضخامة،</w:t>
      </w:r>
    </w:p>
    <w:p>
      <w:pPr/>
      <w:r>
        <w:rPr>
          <w:shd w:val="clear" w:fill="eeee80"/>
        </w:rPr>
        <w:t xml:space="preserve"> وتطور وحدات وشبكة المواصلات …،</w:t>
      </w:r>
    </w:p>
    <w:p>
      <w:pPr/>
      <w:r>
        <w:rPr>
          <w:shd w:val="clear" w:fill="eeee80"/>
        </w:rPr>
        <w:t xml:space="preserve"> وعلى الرغم من أن المنتجات الصناعية تهيمن على صادرات الولايات المتحدة الأمريكية،</w:t>
      </w:r>
    </w:p>
    <w:p>
      <w:pPr/>
      <w:r>
        <w:rPr>
          <w:shd w:val="clear" w:fill="eeee80"/>
        </w:rPr>
        <w:t xml:space="preserve"> إلا أن ميزانها التجاري يعاني عجزا نظرا للتفاوت بين قيمة الواردات وقيمة الصادرات،</w:t>
      </w:r>
    </w:p>
    <w:p>
      <w:pPr/>
      <w:r>
        <w:rPr>
          <w:shd w:val="clear" w:fill="eeee80"/>
        </w:rPr>
        <w:t xml:space="preserve"> بالإضافة إلى ارتفاع تكاليف التدخلات العسكرية،</w:t>
      </w:r>
    </w:p>
    <w:p>
      <w:pPr/>
      <w:r>
        <w:rPr>
          <w:shd w:val="clear" w:fill="eeee80"/>
        </w:rPr>
        <w:t xml:space="preserve"> والمساعدات الاقتصادية في مناطق مختلفة من العالم.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2024-03-28T14:04:20+00:00</dcterms:created>
  <dcterms:modified xsi:type="dcterms:W3CDTF">2024-03-28T14:04:20+00:00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