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تبين أن تنازع القوانين عبر الزمن يمكن أن يؤدي إلى تضارب في تطبيق القانون على العقود والعلاقات القانونية بسبب التغيرات التي تطرأ على القانون عبر الزمن.  مثل التعارض بين القوانين القديمة والجديدة وآثار التغيرات في الظروف الاجتماعية والاقتصادية. 3- تسلط الدراسة الضوء على أهمية تطبيق المبادئ القانونية التي تسهل حل التنازع عبر الزمن بين القوانين وترشد الأطراف في حل المنازعات بطريقة تتفق مع المبادئ العامة للعدالة والإنصاف.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2026-10-19T14:18:42+00:00</dcterms:created>
  <dcterms:modified xsi:type="dcterms:W3CDTF">2026-10-19T14:18:42+00:00</dcterms:modified>
</cp:coreProperties>
</file>

<file path=docProps/custom.xml><?xml version="1.0" encoding="utf-8"?>
<Properties xmlns="http://schemas.openxmlformats.org/officeDocument/2006/custom-properties" xmlns:vt="http://schemas.openxmlformats.org/officeDocument/2006/docPropsVTypes"/>
</file>