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يمكن القول إن الإدارة والقيادة في الإسلام تستندان إلى مبادئ وقيم أساسية مستمدة من القرآن الكريم والسنة النبوية.</w:t>
      </w:r>
    </w:p>
    <w:p>
      <w:pPr/>
      <w:r>
        <w:rPr>
          <w:shd w:val="clear" w:fill="eeee80"/>
        </w:rPr>
        <w:t xml:space="preserve"> تركز القيادة في الإسلام على العدل،</w:t>
      </w:r>
    </w:p>
    <w:p>
      <w:pPr/>
      <w:r>
        <w:rPr>
          <w:shd w:val="clear" w:fill="eeee80"/>
        </w:rPr>
        <w:t xml:space="preserve"> مع توجيه الجهود نحو تحقيق الخير العام وخدمة المجتمع.</w:t>
      </w:r>
    </w:p>
    <w:p>
      <w:pPr/>
      <w:r>
        <w:rPr>
          <w:shd w:val="clear" w:fill="eeee80"/>
        </w:rPr>
        <w:t xml:space="preserve"> كما يُشدد على أهمية الأمانة،</w:t>
      </w:r>
    </w:p>
    <w:p>
      <w:pPr/>
      <w:r>
        <w:rPr>
          <w:shd w:val="clear" w:fill="eeee80"/>
        </w:rPr>
        <w:t xml:space="preserve"> والإحسان في كل جوانب الإدارة والقيادة.</w:t>
      </w:r>
    </w:p>
    <w:p>
      <w:pPr/>
      <w:r>
        <w:rPr>
          <w:shd w:val="clear" w:fill="eeee80"/>
        </w:rPr>
        <w:t xml:space="preserve">تُعزز هذه القيم ممارسات القيادة الرشيدة والإدارة الفعّالة التي تحقق التوازن بين الأهداف المادية والروحية،</w:t>
      </w:r>
    </w:p>
    <w:p>
      <w:pPr/>
      <w:r>
        <w:rPr>
          <w:shd w:val="clear" w:fill="eeee80"/>
        </w:rPr>
        <w:t xml:space="preserve"> مما يسهم في بناء مجتمع متكامل ومتقدم.</w:t>
      </w:r>
    </w:p>
    <w:p>
      <w:pPr/>
      <w:r>
        <w:rPr>
          <w:shd w:val="clear" w:fill="eeee80"/>
        </w:rPr>
        <w:t xml:space="preserve"> يُعد اتباع هذه المبادئ الإسلامية في الإدارة والقيادة سبيلًا لتحقيق التنمية المستدامة والنجاح في مختلف مجالات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2026-10-19T04:38:26+00:00</dcterms:created>
  <dcterms:modified xsi:type="dcterms:W3CDTF">2026-10-19T04:38:26+00:00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