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يشير قانون تنظيم الصحافة واإلعالم إلى خطورة جريمة التحريض وجعلها</w:t>
      </w:r>
    </w:p>
    <w:p>
      <w:pPr/>
      <w:r>
        <w:rPr/>
        <w:t xml:space="preserve">من المسائل المحظور نشرها أو بثها،</w:t>
      </w:r>
    </w:p>
    <w:p>
      <w:pPr/>
      <w:r>
        <w:rPr>
          <w:shd w:val="clear" w:fill="eeee80"/>
        </w:rPr>
        <w:t xml:space="preserve"> حيث حظرت المادة )4( منه على </w:t>
      </w:r>
    </w:p>
    <w:p>
      <w:pPr/>
      <w:r>
        <w:rPr>
          <w:shd w:val="clear" w:fill="eeee80"/>
        </w:rPr>
        <w:t xml:space="preserve">ّث أي مادة أو إعالن يح</w:t>
      </w:r>
    </w:p>
    <w:p>
      <w:pPr/>
      <w:r>
        <w:rPr>
          <w:shd w:val="clear" w:fill="eeee80"/>
        </w:rPr>
        <w:t xml:space="preserve"> أو العنصرية،</w:t>
      </w:r>
    </w:p>
    <w:p>
      <w:pPr/>
      <w:r>
        <w:rPr>
          <w:shd w:val="clear" w:fill="eeee80"/>
        </w:rPr>
        <w:t xml:space="preserve"> أو الكراهية،</w:t>
      </w:r>
    </w:p>
    <w:p>
      <w:pPr/>
      <w:r>
        <w:rPr>
          <w:shd w:val="clear" w:fill="eeee80"/>
        </w:rPr>
        <w:t xml:space="preserve"> كما حظرت المادة ) 5( على الجهات </w:t>
      </w:r>
    </w:p>
    <w:p>
      <w:pPr/>
      <w:r>
        <w:rPr/>
        <w:t xml:space="preserve">المختصة الترخيص بإنشاء أي موقع إلكتروني والسماح له بممارسة نشاطه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2026-10-17T11:03:17+00:00</dcterms:created>
  <dcterms:modified xsi:type="dcterms:W3CDTF">2026-10-17T11:03:17+00:00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