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وفقا لما نصت عليه المادة 5/542 من ق.</w:t>
      </w:r>
    </w:p>
    <w:p>
      <w:pPr/>
      <w:r>
        <w:rPr>
          <w:shd w:val="clear" w:fill="eeee80"/>
        </w:rPr>
        <w:t xml:space="preserve"> ج</w:t>
      </w:r>
    </w:p>
    <w:p>
      <w:pPr/>
      <w:r>
        <w:rPr>
          <w:shd w:val="clear" w:fill="eeee80"/>
        </w:rPr>
        <w:t xml:space="preserve"> نجد العديد من التصرفات التي 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2026-11-01T23:08:54+00:00</dcterms:created>
  <dcterms:modified xsi:type="dcterms:W3CDTF">2026-11-01T23:08:54+00:00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