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 indirect object tells us to or for whom the action is done.</w:t>
      </w:r>
    </w:p>
    <w:p>
      <w:pPr/>
      <w:r>
        <w:rPr/>
        <w:t xml:space="preserve"> There must be a direct object for there to be an indirect object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2026-10-10T03:54:42+00:00</dcterms:created>
  <dcterms:modified xsi:type="dcterms:W3CDTF">2026-10-10T03:54:42+00:00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