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An indirect object tells us to or for whom the action is done.</w:t>
      </w:r>
    </w:p>
    <w:p>
      <w:pPr/>
      <w:r>
        <w:rPr/>
        <w:t xml:space="preserve"> There must be a direct object for there to be an indirect object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2026-09-19T20:32:53+00:00</dcterms:created>
  <dcterms:modified xsi:type="dcterms:W3CDTF">2026-09-19T20:32:53+00:00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