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الأهداف التي تسعى إليها إدارة الموارد البشرية بالمنظمة هي نفسها الأهداف التي تسعى إليها الإدارة بصفة عامة في</w:t>
      </w:r>
    </w:p>
    <w:p>
      <w:pPr/>
      <w:r>
        <w:rPr>
          <w:shd w:val="clear" w:fill="eeee80"/>
        </w:rPr>
        <w:t xml:space="preserve"> ويعتبر الأفراد عنصرا هاما وحيويا،</w:t>
      </w:r>
    </w:p>
    <w:p>
      <w:pPr/>
      <w:r>
        <w:rPr>
          <w:shd w:val="clear" w:fill="eeee80"/>
        </w:rPr>
        <w:t xml:space="preserve">المنظمة وتحقيق أهدافها على الطريقة التي تم استخدامها في الحصول على الأفراد وإدارتهم بواسطة القيادات،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2026-10-13T20:52:19+00:00</dcterms:created>
  <dcterms:modified xsi:type="dcterms:W3CDTF">2026-10-13T20:52:19+00:00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