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الشباب قوة حيوية تساهم في دفع عجلة التنمية الاقتصادية والاجتماعية من خلال ابتكاراتهم ومبادراتهم يمتلك الشباب قدرة كبيرة على التكيف مع التقنيات الحديثة وتطويرها ،</w:t>
      </w:r>
    </w:p>
    <w:p>
      <w:pPr/>
      <w:r>
        <w:rPr>
          <w:shd w:val="clear" w:fill="eeee80"/>
        </w:rPr>
        <w:t xml:space="preserve">الإنتاجية وتحقيق التقدم التكنولوجي يسهم الشباب في تغيير الأنماط الاجتماعية التقليدية ونشر الوعي حول قضايا حقوق الإنسان والمساواة</w:t>
      </w:r>
    </w:p>
    <w:p>
      <w:pPr/>
      <w:r>
        <w:rPr/>
        <w:t xml:space="preserve">يميل الشباب إلى الريادة وتأسيس المشاريع الصغيرة والمتوسطة،</w:t>
      </w:r>
    </w:p>
    <w:p>
      <w:pPr/>
      <w:r>
        <w:rPr>
          <w:shd w:val="clear" w:fill="eeee80"/>
        </w:rPr>
        <w:t xml:space="preserve"> مما يخلق فرص عمل جديدة ويساهم في النمو الاقتصادي يسهم الشباب في العمل التطوعي وخدمة المجتمع من خلال الأنشطة التي تعزز التكافل الاجتماعي وتنمي الروح الوطنية الشباب يساهمون في تبادل الخبرات والمعارف بين الأجيال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2026-10-01T00:02:27+00:00</dcterms:created>
  <dcterms:modified xsi:type="dcterms:W3CDTF">2026-10-01T00:02:27+00:00</dcterms:modified>
</cp:coreProperties>
</file>

<file path=docProps/custom.xml><?xml version="1.0" encoding="utf-8"?>
<Properties xmlns="http://schemas.openxmlformats.org/officeDocument/2006/custom-properties" xmlns:vt="http://schemas.openxmlformats.org/officeDocument/2006/docPropsVTypes"/>
</file>