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النقاش الشامل حول مهارات ريادة الأعمال وأهمية القوائم المالية واتخاذ القرارات المستنيرة بناءً على تحليل التكاليف والعوائد،  نجد أن الرحلة الريادية تتطلب مزيجًا من المهارات الشخصية والقدرات التحليلية.  الندرة وتكلفة الفرص البديلة تلعبان دورًا حاسمًا في اتخاذ القرارات التي تؤثر على مسار الحياة المهنية والشخصية. من خلال تطوير مهارات مثل الابتكار،  القوائم المالية تبقى أداة أساسية لتقييم الأداء المالي واتخاذ قرارات استثمارية مدروسة،  استخدام نموذج قرار التكلفة والعائد يمكننا من اتخاذ قرارات مبنية على معلومات دقيقة وتحقيق توازن مثالي بين مختلف جوانب حياتنا.  بل هي رحلة تعلم مستمرة ونمو شخصي يعزز من قدراتنا على التكيف والتطور في عالم سريع التغير.  أتمنى لك التوفيق في رحلتك الريادية وأن تتمكن من تحقيق توازن مثالي بين طموحاتك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