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فيتناول هذا المعيار إحدى القضايا المحاسبية الهامة والتي تتمثل في كيفية تحديد تكلفة المخزون التي يجب أن يتم الاعتراف بها كأصل في الميزانية والتي ترحل من فترة لأخرى حتى يتم الاعتراف بالإيرادات المرتبطة بها،  حيث يقدم هذا المعيار الإرشادات العملية لتحديد تكلفة المخزون والتي سيتم الاعتراف بها فيما بعد كمصروف،  كما يقدم هذا المعيار الإرشادات بالنسبة للحالات التي يتم فيها تخفيض تكلفة المخزون إلى صافي القيمة البيعية صافي القيمة القابلة للتحقق) ‏ كما يقدم هذا المعيار الإرشادات حول معادلات التكلفة التي تستخدم في تحديد تكاليف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2026-10-10T04:57:51+00:00</dcterms:created>
  <dcterms:modified xsi:type="dcterms:W3CDTF">2026-10-10T04:57:51+00:00</dcterms:modified>
</cp:coreProperties>
</file>

<file path=docProps/custom.xml><?xml version="1.0" encoding="utf-8"?>
<Properties xmlns="http://schemas.openxmlformats.org/officeDocument/2006/custom-properties" xmlns:vt="http://schemas.openxmlformats.org/officeDocument/2006/docPropsVTypes"/>
</file>