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الخاصية الثانية لشركات التوصية البسيطة معنيّة بانتقال حصة الشريك،</w:t>
      </w:r>
    </w:p>
    <w:p>
      <w:pPr/>
      <w:r>
        <w:rPr/>
        <w:t xml:space="preserve"> سواء بالتنازل أو البيع أو غير ذلك،</w:t>
      </w:r>
    </w:p>
    <w:p>
      <w:pPr/>
      <w:r>
        <w:rPr>
          <w:shd w:val="clear" w:fill="eeee80"/>
        </w:rPr>
        <w:t xml:space="preserve"> وهنا تجدر الإشارة إلى أن كلا النوعين من الشركاء (المتضامن،</w:t>
      </w:r>
    </w:p>
    <w:p>
      <w:pPr/>
      <w:r>
        <w:rPr/>
        <w:t xml:space="preserve"> والموصي) لا يحق لهما نقل حصصهم إلى الغير دون موافقة بقية الشركات،</w:t>
      </w:r>
    </w:p>
    <w:p>
      <w:pPr/>
      <w:r>
        <w:rPr>
          <w:shd w:val="clear" w:fill="eeee80"/>
        </w:rPr>
        <w:t xml:space="preserve"> يتناسب ذلك مع طبيعة شركات الأشخاص التي تقوم على الاعتبار الشخصي للشريك،</w:t>
      </w:r>
    </w:p>
    <w:p>
      <w:pPr/>
      <w:r>
        <w:rPr/>
        <w:t xml:space="preserve"> وبالتالي ضرورة اطمئنان بقية الشركاء إلى جدارة الشريك الجديد. يمكن عند إنشاء (عقد التأسيس) الاتفاق على أحقية الشركاء أو بعضهم في نقل حصصهم للغير،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2026-09-15T18:10:30+00:00</dcterms:created>
  <dcterms:modified xsi:type="dcterms:W3CDTF">2026-09-15T18:10:30+00:00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