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ومن جهة أخرى هناك برامج قطاعية تنفذ الإستراتيجية والمخطط الوطني،</w:t>
      </w:r>
    </w:p>
    <w:p>
      <w:pPr/>
      <w:r>
        <w:rPr>
          <w:shd w:val="clear" w:fill="eeee80"/>
        </w:rPr>
        <w:t xml:space="preserve"> ويأتي على رأسها برنامج وطني للتزويد بالماء الشروب ومياه السقي 2020 - 2027 هيئ تنفيذاً للتوجهات الملكية في هذا الشأن،</w:t>
      </w:r>
    </w:p>
    <w:p>
      <w:pPr/>
      <w:r>
        <w:rPr>
          <w:shd w:val="clear" w:fill="eeee80"/>
        </w:rPr>
        <w:t xml:space="preserve"> ومن بين ما يتضمنه هذا البرنامج الذي تم إعداده بشكل تشاوري بين مختلف القطاعات الحكومية والمؤسسات العمومية المتدخلة في قطاع الماء.</w:t>
      </w:r>
    </w:p>
    <w:p>
      <w:pPr/>
      <w:r>
        <w:rPr/>
        <w:t xml:space="preserve"> وتهم إجراءات البرنامج تنمية العرض المائي عبر تشييد مندود جديدة، أو الرفع من القدرة التخزينية للبعض منها، وإنشاء محطات التحلية مياه البحر عند الاقتضاء وتشجيع إعادة استعمال المياه العادمة وتقوية إنتاج وتوزيع الماء الصالح للشرب.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2026-10-03T10:12:21+00:00</dcterms:created>
  <dcterms:modified xsi:type="dcterms:W3CDTF">2026-10-03T10:12:21+00:00</dcterms:modified>
</cp:coreProperties>
</file>

<file path=docProps/custom.xml><?xml version="1.0" encoding="utf-8"?>
<Properties xmlns="http://schemas.openxmlformats.org/officeDocument/2006/custom-properties" xmlns:vt="http://schemas.openxmlformats.org/officeDocument/2006/docPropsVTypes"/>
</file>