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يقصد بالأهمية النسبية أن الاهتمام بتوفير الدقة في معالجة وتحليل المعلومات المحاسبية يتوقف على مدى أهميتها النسبية على قائمة الدخل وقائمة المركز المالي.</w:t>
      </w:r>
    </w:p>
    <w:p>
      <w:pPr/>
      <w:r>
        <w:rPr>
          <w:shd w:val="clear" w:fill="eeee80"/>
        </w:rPr>
        <w:t xml:space="preserve"> ففي حين أنه يجب من الناحية النظرية معالجة جميع العناصر كبرت أم صغرت بنفس الطريقة،</w:t>
      </w:r>
    </w:p>
    <w:p>
      <w:pPr/>
      <w:r>
        <w:rPr/>
        <w:t xml:space="preserve"> إلا أنه في الواقع العملي كثيرا ما تهمل الطريقة الصحيحة للمعالجة عند ما ترتبط بقيم صغيرة نسبيا.</w:t>
      </w:r>
    </w:p>
    <w:p>
      <w:pPr/>
      <w:r>
        <w:rPr>
          <w:shd w:val="clear" w:fill="eeee80"/>
        </w:rPr>
        <w:t xml:space="preserve"> فعلي سبيل المثال يمكن توزيع تكلفة السيارة التي تقدر فترة استخدامها بثلاث سنوات على فترات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2026-10-14T09:36:55+00:00</dcterms:created>
  <dcterms:modified xsi:type="dcterms:W3CDTF">2026-10-14T09:36:55+00:00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