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Jewish moneylender in Venice.</w:t>
      </w:r>
    </w:p>
    <w:p>
      <w:pPr/>
      <w:r>
        <w:rPr/>
        <w:t xml:space="preserve"> Angered by his mistreatment at the hands of Venice’s Christians, particularly Antonio, Shylock schemes to eke out his revenge by ruthlessly demanding as payment a pound of Antonio’s flesh. Although seen by the rest of the play’s characters as an inhuman monster, Shylock at times diverges from stereotype and reveals himself to be quite human. These contradictions, and his eloquent expressions of hatred, have earned Shylock a place as one of Shakespeare’s most memorable characters.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2026-09-27T09:55:43+00:00</dcterms:created>
  <dcterms:modified xsi:type="dcterms:W3CDTF">2026-09-27T09:55:43+00:00</dcterms:modified>
</cp:coreProperties>
</file>

<file path=docProps/custom.xml><?xml version="1.0" encoding="utf-8"?>
<Properties xmlns="http://schemas.openxmlformats.org/officeDocument/2006/custom-properties" xmlns:vt="http://schemas.openxmlformats.org/officeDocument/2006/docPropsVTypes"/>
</file>