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يعكس النظام الرقابي طبيعة النشاط واحتياجاته،</w:t>
      </w:r>
    </w:p>
    <w:p>
      <w:pPr/>
      <w:r>
        <w:rPr>
          <w:shd w:val="clear" w:fill="eeee80"/>
        </w:rPr>
        <w:t xml:space="preserve"> فطبيعة العمل المصرفي على سبيل المثال تتطلب نوعا مختلفا من الأساليب والمبادئ الرقابية التي تختلف عن تلك التي تطبق في نوعيات أخري من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2026-10-08T08:55:27+00:00</dcterms:created>
  <dcterms:modified xsi:type="dcterms:W3CDTF">2026-10-08T08:55:27+00:00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