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قابل للتجزئة ويبقى بكامله على العقارات المخصصة وعلى كل عقار منها وعلى كل قسم  من هذه العقارات ويتبعها في أية يد  تنتقل إليها العقارات .</w:t>
      </w:r>
    </w:p>
    <w:p>
      <w:pPr/>
      <w:r>
        <w:rPr>
          <w:shd w:val="clear" w:fill="eeee80"/>
        </w:rPr>
        <w:t xml:space="preserve">إن التأمين هو حق عيني يترتب للدائن على عقار  أو أكثر مخصصة لضمان الوفاء بدينه،</w:t>
      </w:r>
    </w:p>
    <w:p>
      <w:pPr/>
      <w:r>
        <w:rPr>
          <w:shd w:val="clear" w:fill="eeee80"/>
        </w:rPr>
        <w:t xml:space="preserve">وأن هذا الحق غير قابل للتجزئة وهو يخول الدائن حق تتبع العقار في أية  يد ينتقل إليها.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2026-08-24T21:48:05+00:00</dcterms:created>
  <dcterms:modified xsi:type="dcterms:W3CDTF">2026-08-24T21:48:05+00:00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