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 تطوير الذكاء الاصطناعي منذ آلاف السنين،  جرى تطوير العديد من النظريات والتقنيات الجديدة في مجال الذكاء الاصطناعي، وشهد القرن الحادي والعشرين تقدما كبيرا في تطوير الذكاء الاصطناعي بسبب التطورات المستمرة في التكنولوجيا، ولا يزال تطوير الذكاء الاصطناعي مستمرا في الوقت الحالي،  وذلك بهدف تطوير آلات أكثر ذكاء وقدرة على التفكير والتعلم مثل البشر.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2026-10-12T02:36:55+00:00</dcterms:created>
  <dcterms:modified xsi:type="dcterms:W3CDTF">2026-10-12T02:36:55+00:00</dcterms:modified>
</cp:coreProperties>
</file>

<file path=docProps/custom.xml><?xml version="1.0" encoding="utf-8"?>
<Properties xmlns="http://schemas.openxmlformats.org/officeDocument/2006/custom-properties" xmlns:vt="http://schemas.openxmlformats.org/officeDocument/2006/docPropsVTypes"/>
</file>