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فكر في الطريقة التي تقيس بها وزنك.</w:t>
      </w:r>
    </w:p>
    <w:p>
      <w:pPr/>
      <w:r>
        <w:rPr>
          <w:shd w:val="clear" w:fill="eeee80"/>
        </w:rPr>
        <w:t xml:space="preserve"> عندما تقف على الميزان تؤثر فيه بقوة،</w:t>
      </w:r>
    </w:p>
    <w:p>
      <w:pPr/>
      <w:r>
        <w:rPr>
          <w:shd w:val="clear" w:fill="eeee80"/>
        </w:rPr>
        <w:t xml:space="preserve"> فيتحرّك مؤشر الميزان ليبيّن وزنك،</w:t>
      </w:r>
    </w:p>
    <w:p>
      <w:pPr/>
      <w:r>
        <w:rPr>
          <w:shd w:val="clear" w:fill="eeee80"/>
        </w:rPr>
        <w:t xml:space="preserve"> وفي الوقت نفسه ومن خلال القانون الثالث لنيوتن يؤثر الميزان في جسمك بقوة نحو الأعلى مساوية لوزنك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2026-10-07T00:00:01+00:00</dcterms:created>
  <dcterms:modified xsi:type="dcterms:W3CDTF">2026-10-07T00:00:01+00:00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