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وتدور تدور الاختلافات الرئيسية بين التورق المنظم وغير المنظم في الخدمات المصرفية الإسلامية في المقام الأول حول التزامها بمبادئ الشريعة الإسلامية ومستوى الرقابة والقبول داخل الولايات القضائية المختلفة وعادةً ما تتم الموافقة على التورق المنظم من قبل مجالس الشريعة وتلتزم بإرشادات محددة،  في حين أن التورق غير المنظم يفتقر إلى مثل هذه الرقابة، الامتثال للشرعة: تتم الموافقة على التورق المنظم من قبل اللجان الشرعية، المعاملات المهيكلة: يتم تنظيم هذه المعاملات ومراقبتها، التقييد: يتبع التورق المنظم العقود الموحدة، نقص المراقبة: يعمل التورق غير المنظم دون موافقة رسمية من الشريعة الإسلامية، في حين يهدف التورق المنظم إلى توفير حل متوافق مع الشريعة الإسلامية لاحتياجات السيولة،  فإن التورق غير المنظم يشكل مخاطر عدم الامتثال والمعضلات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