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Organizations around the world value mental health andthe well-being of their employees and recognize that asupportive work environment increases productivity andparticipation.GulfVibe Digital should considerimplementing transparent channels of communicationregarding promotions and layoffs.Many organizations areurgently pursuing strategies of diversity and inclusion tocreate fair workplaces.By integrating diversity into the workprocess, GulfVibe Digital can update team dynamics and profit-based discrimination.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