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تكاليف الحرب باهظة وتراكمت الديون على الدول المتحاربة، كما تم تدمير المصانع وتعطيل الإنتاج الصناعي الاستهلاكي وشلت الزراعة نتيجة حرق الأراضي الزراعية وحلّ الدمار بمناطق القتال، فتهدمت المنازل والمنشآت العامة والمؤسسات. وخسرت الدول الأوروبية أسواقًا تجارية عديدة، وانخفض سعر الصرف للعملات وهبطت قيمتها الشرائية. وفي المقابل، نشط اقتصاد بعض الدول كالولايات المتحدة الأمريكية واليابان وبعض دول أمريكا الجنوبية.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